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51A4" w14:textId="2D5B822D" w:rsidR="000A46E6" w:rsidRPr="00BB559E" w:rsidRDefault="000A46E6" w:rsidP="000C72A6">
      <w:pPr>
        <w:jc w:val="center"/>
        <w:rPr>
          <w:rFonts w:cs="Calibri"/>
          <w:b/>
          <w:bCs/>
          <w:color w:val="008338"/>
          <w:sz w:val="28"/>
          <w:szCs w:val="28"/>
          <w:lang w:val="en-GB"/>
        </w:rPr>
      </w:pPr>
      <w:r w:rsidRPr="00BB559E">
        <w:rPr>
          <w:noProof/>
          <w:lang w:val="en-GB"/>
        </w:rPr>
        <w:drawing>
          <wp:inline distT="0" distB="0" distL="0" distR="0" wp14:anchorId="3BDF9741" wp14:editId="01128533">
            <wp:extent cx="2676445" cy="1041400"/>
            <wp:effectExtent l="0" t="0" r="0" b="6350"/>
            <wp:docPr id="1794159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103" cy="1063445"/>
                    </a:xfrm>
                    <a:prstGeom prst="rect">
                      <a:avLst/>
                    </a:prstGeom>
                    <a:noFill/>
                    <a:ln>
                      <a:noFill/>
                    </a:ln>
                  </pic:spPr>
                </pic:pic>
              </a:graphicData>
            </a:graphic>
          </wp:inline>
        </w:drawing>
      </w:r>
    </w:p>
    <w:p w14:paraId="350E794A" w14:textId="77777777" w:rsidR="000A46E6" w:rsidRPr="00BB559E" w:rsidRDefault="000A46E6" w:rsidP="000A46E6">
      <w:pPr>
        <w:rPr>
          <w:rFonts w:cs="Calibri"/>
          <w:lang w:val="en-GB"/>
        </w:rPr>
      </w:pPr>
    </w:p>
    <w:p w14:paraId="18B00A34" w14:textId="7B1315B2" w:rsidR="001C3DEA" w:rsidRPr="00BB559E" w:rsidRDefault="0045174B" w:rsidP="000C72A6">
      <w:pPr>
        <w:jc w:val="center"/>
        <w:rPr>
          <w:rFonts w:cs="Calibri"/>
          <w:color w:val="008338"/>
          <w:sz w:val="28"/>
          <w:szCs w:val="28"/>
          <w:lang w:val="en-GB"/>
        </w:rPr>
      </w:pPr>
      <w:r w:rsidRPr="00BB559E">
        <w:rPr>
          <w:rFonts w:cs="Calibri"/>
          <w:b/>
          <w:bCs/>
          <w:color w:val="008338"/>
          <w:sz w:val="28"/>
          <w:szCs w:val="28"/>
          <w:lang w:val="en-GB"/>
        </w:rPr>
        <w:t>Rail Industry Substance List</w:t>
      </w:r>
      <w:r w:rsidR="0091060F" w:rsidRPr="00BB559E">
        <w:rPr>
          <w:rFonts w:cs="Calibri"/>
          <w:b/>
          <w:bCs/>
          <w:color w:val="008338"/>
          <w:sz w:val="28"/>
          <w:szCs w:val="28"/>
          <w:lang w:val="en-GB"/>
        </w:rPr>
        <w:t xml:space="preserve"> </w:t>
      </w:r>
      <w:r w:rsidRPr="00BB559E">
        <w:rPr>
          <w:rFonts w:cs="Calibri"/>
          <w:b/>
          <w:bCs/>
          <w:color w:val="008338"/>
          <w:sz w:val="28"/>
          <w:szCs w:val="28"/>
          <w:lang w:val="en-GB"/>
        </w:rPr>
        <w:t>Guideline</w:t>
      </w:r>
      <w:r w:rsidR="00177643" w:rsidRPr="00BB559E">
        <w:rPr>
          <w:rFonts w:cs="Calibri"/>
          <w:b/>
          <w:bCs/>
          <w:color w:val="008338"/>
          <w:sz w:val="28"/>
          <w:szCs w:val="28"/>
          <w:lang w:val="en-GB"/>
        </w:rPr>
        <w:t>s</w:t>
      </w:r>
    </w:p>
    <w:p w14:paraId="0910A1B7" w14:textId="2F7F47E4" w:rsidR="001C3DEA" w:rsidRPr="00BB559E" w:rsidRDefault="00005E56" w:rsidP="000C72A6">
      <w:pPr>
        <w:jc w:val="center"/>
        <w:rPr>
          <w:rFonts w:cs="Calibri"/>
          <w:color w:val="008338"/>
          <w:sz w:val="28"/>
          <w:szCs w:val="28"/>
          <w:lang w:val="en-GB"/>
        </w:rPr>
      </w:pPr>
      <w:r w:rsidRPr="00BB559E">
        <w:rPr>
          <w:rFonts w:cs="Calibri"/>
          <w:color w:val="008338"/>
          <w:sz w:val="28"/>
          <w:szCs w:val="28"/>
          <w:lang w:val="en-GB"/>
        </w:rPr>
        <w:t>June</w:t>
      </w:r>
      <w:r w:rsidR="000C2786" w:rsidRPr="00BB559E">
        <w:rPr>
          <w:rFonts w:cs="Calibri"/>
          <w:color w:val="008338"/>
          <w:sz w:val="28"/>
          <w:szCs w:val="28"/>
          <w:lang w:val="en-GB"/>
        </w:rPr>
        <w:t xml:space="preserve"> </w:t>
      </w:r>
      <w:r w:rsidR="001C3DEA" w:rsidRPr="00BB559E">
        <w:rPr>
          <w:rFonts w:cs="Calibri"/>
          <w:color w:val="008338"/>
          <w:sz w:val="28"/>
          <w:szCs w:val="28"/>
          <w:lang w:val="en-GB"/>
        </w:rPr>
        <w:t>202</w:t>
      </w:r>
      <w:r w:rsidR="00E743E5" w:rsidRPr="00BB559E">
        <w:rPr>
          <w:rFonts w:cs="Calibri"/>
          <w:color w:val="008338"/>
          <w:sz w:val="28"/>
          <w:szCs w:val="28"/>
          <w:lang w:val="en-GB"/>
        </w:rPr>
        <w:t>6</w:t>
      </w:r>
    </w:p>
    <w:p w14:paraId="6319E828" w14:textId="77777777" w:rsidR="0045174B" w:rsidRPr="00BB559E" w:rsidRDefault="0045174B" w:rsidP="000C72A6">
      <w:pPr>
        <w:rPr>
          <w:rFonts w:cs="Calibri"/>
          <w:lang w:val="en-GB"/>
        </w:rPr>
      </w:pPr>
    </w:p>
    <w:p w14:paraId="4879C1F4" w14:textId="77777777" w:rsidR="0045174B" w:rsidRPr="00BB559E" w:rsidRDefault="0045174B" w:rsidP="000C72A6">
      <w:pPr>
        <w:rPr>
          <w:rFonts w:cs="Calibri"/>
          <w:lang w:val="en-GB"/>
        </w:rPr>
      </w:pPr>
    </w:p>
    <w:p w14:paraId="16636CC9" w14:textId="3F28D496" w:rsidR="001C3DEA" w:rsidRPr="00BB559E" w:rsidRDefault="001C3DEA" w:rsidP="000C72A6">
      <w:pPr>
        <w:pStyle w:val="Heading2"/>
        <w:spacing w:before="0" w:after="0"/>
        <w:rPr>
          <w:rFonts w:ascii="Aptos" w:hAnsi="Aptos" w:cs="Calibri"/>
          <w:color w:val="008338"/>
          <w:lang w:val="en-GB"/>
        </w:rPr>
      </w:pPr>
      <w:bookmarkStart w:id="0" w:name="_Hlk158207301"/>
      <w:r w:rsidRPr="00BB559E">
        <w:rPr>
          <w:rFonts w:ascii="Aptos" w:hAnsi="Aptos" w:cs="Calibri"/>
          <w:color w:val="008338"/>
          <w:lang w:val="en-GB"/>
        </w:rPr>
        <w:t>About UNIFE</w:t>
      </w:r>
    </w:p>
    <w:bookmarkEnd w:id="0"/>
    <w:p w14:paraId="4E195C9A" w14:textId="77777777" w:rsidR="00351724" w:rsidRPr="00BB559E" w:rsidRDefault="00351724" w:rsidP="000C72A6">
      <w:pPr>
        <w:spacing w:line="360" w:lineRule="auto"/>
        <w:jc w:val="both"/>
        <w:rPr>
          <w:rFonts w:eastAsia="Arial" w:cs="Calibri"/>
          <w:lang w:val="en-GB"/>
          <w14:ligatures w14:val="none"/>
        </w:rPr>
      </w:pPr>
    </w:p>
    <w:p w14:paraId="1578A547" w14:textId="23315084" w:rsidR="004D3843" w:rsidRPr="00BB559E" w:rsidRDefault="00CC1CA6" w:rsidP="00CC1CA6">
      <w:pPr>
        <w:spacing w:line="360" w:lineRule="auto"/>
        <w:jc w:val="both"/>
        <w:rPr>
          <w:rFonts w:eastAsia="Arial" w:cs="Calibri"/>
          <w:lang w:val="en-GB"/>
          <w14:ligatures w14:val="none"/>
        </w:rPr>
      </w:pPr>
      <w:hyperlink r:id="rId12" w:history="1">
        <w:r w:rsidRPr="00BB559E">
          <w:rPr>
            <w:color w:val="008338"/>
            <w:lang w:val="en-GB"/>
          </w:rPr>
          <w:t xml:space="preserve">UNIFE, the </w:t>
        </w:r>
        <w:r w:rsidRPr="00BB559E">
          <w:rPr>
            <w:i/>
            <w:iCs/>
            <w:color w:val="008338"/>
            <w:lang w:val="en-GB"/>
          </w:rPr>
          <w:t>European Rail Supply Industry Association</w:t>
        </w:r>
      </w:hyperlink>
      <w:r w:rsidR="004D3843" w:rsidRPr="00BB559E">
        <w:rPr>
          <w:rFonts w:eastAsia="Arial" w:cs="Calibri"/>
          <w:lang w:val="en-GB"/>
          <w14:ligatures w14:val="none"/>
        </w:rPr>
        <w:t>, has been based in Brussels since 1992, representing European train builders and rail equipment suppliers. The association represents more than 120 of Europe’s leading rail supply companies, from SMEs to major industrial champions. UNIFE members are active in the design, manufacture, maintenance, and refurbishment of rail transport systems, including trains, metros, trams, and freight wagons, as well as subsystems and related equipment. UNIFE also brings together national rail industry associations from 13 European Member States.</w:t>
      </w:r>
    </w:p>
    <w:p w14:paraId="7551D541" w14:textId="77777777" w:rsidR="001C3DEA" w:rsidRPr="00BB559E" w:rsidRDefault="001C3DEA" w:rsidP="000C72A6">
      <w:pPr>
        <w:spacing w:line="360" w:lineRule="auto"/>
        <w:jc w:val="both"/>
        <w:rPr>
          <w:rFonts w:eastAsia="Arial" w:cs="Calibri"/>
          <w:lang w:val="en-GB"/>
          <w14:ligatures w14:val="none"/>
        </w:rPr>
      </w:pPr>
    </w:p>
    <w:p w14:paraId="6CB7D548" w14:textId="16FC6EE5" w:rsidR="00F02D22"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 xml:space="preserve">The </w:t>
      </w:r>
      <w:hyperlink r:id="rId13" w:history="1">
        <w:r w:rsidRPr="00BB559E">
          <w:rPr>
            <w:rFonts w:eastAsia="Arial" w:cs="Calibri"/>
            <w:color w:val="008338"/>
            <w:u w:val="single"/>
            <w:lang w:val="en-GB"/>
            <w14:ligatures w14:val="none"/>
          </w:rPr>
          <w:t>UNIFE Chemical Risks Topical Group (CR TG)</w:t>
        </w:r>
      </w:hyperlink>
      <w:r w:rsidRPr="00BB559E">
        <w:rPr>
          <w:rFonts w:eastAsia="Arial" w:cs="Calibri"/>
          <w:lang w:val="en-GB"/>
          <w14:ligatures w14:val="none"/>
        </w:rPr>
        <w:t xml:space="preserve"> </w:t>
      </w:r>
      <w:r w:rsidR="00F02D22" w:rsidRPr="00BB559E">
        <w:rPr>
          <w:rFonts w:eastAsia="Arial" w:cs="Calibri"/>
          <w:lang w:val="en-GB"/>
          <w14:ligatures w14:val="none"/>
        </w:rPr>
        <w:t xml:space="preserve">leads UNIFE’s policy on </w:t>
      </w:r>
      <w:r w:rsidR="00D709EA" w:rsidRPr="00BB559E">
        <w:rPr>
          <w:rFonts w:eastAsia="Arial" w:cs="Calibri"/>
          <w:lang w:val="en-GB"/>
          <w14:ligatures w14:val="none"/>
        </w:rPr>
        <w:t xml:space="preserve">the management of chemicals and hazardous substances </w:t>
      </w:r>
      <w:r w:rsidR="00F02D22" w:rsidRPr="00BB559E">
        <w:rPr>
          <w:rFonts w:eastAsia="Arial" w:cs="Calibri"/>
          <w:lang w:val="en-GB"/>
          <w14:ligatures w14:val="none"/>
        </w:rPr>
        <w:t xml:space="preserve">at the </w:t>
      </w:r>
      <w:r w:rsidR="00E743E5" w:rsidRPr="00BB559E">
        <w:rPr>
          <w:rFonts w:eastAsia="Arial" w:cs="Calibri"/>
          <w:lang w:val="en-GB"/>
          <w14:ligatures w14:val="none"/>
        </w:rPr>
        <w:t>global</w:t>
      </w:r>
      <w:r w:rsidR="00F02D22" w:rsidRPr="00BB559E">
        <w:rPr>
          <w:rFonts w:eastAsia="Arial" w:cs="Calibri"/>
          <w:lang w:val="en-GB"/>
          <w14:ligatures w14:val="none"/>
        </w:rPr>
        <w:t xml:space="preserve"> and European levels, including the</w:t>
      </w:r>
      <w:r w:rsidR="00AD1C5A" w:rsidRPr="00BB559E">
        <w:rPr>
          <w:rFonts w:eastAsia="Arial" w:cs="Calibri"/>
          <w:lang w:val="en-GB"/>
          <w14:ligatures w14:val="none"/>
        </w:rPr>
        <w:t xml:space="preserve"> </w:t>
      </w:r>
      <w:r w:rsidR="00F02D22" w:rsidRPr="00BB559E">
        <w:rPr>
          <w:rFonts w:eastAsia="Arial" w:cs="Calibri"/>
          <w:i/>
          <w:iCs/>
          <w:lang w:val="en-GB"/>
          <w14:ligatures w14:val="none"/>
        </w:rPr>
        <w:t>European Chemicals Agency</w:t>
      </w:r>
      <w:r w:rsidR="00AD1C5A" w:rsidRPr="00BB559E">
        <w:rPr>
          <w:rFonts w:eastAsia="Arial" w:cs="Calibri"/>
          <w:i/>
          <w:iCs/>
          <w:lang w:val="en-GB"/>
          <w14:ligatures w14:val="none"/>
        </w:rPr>
        <w:t xml:space="preserve"> </w:t>
      </w:r>
      <w:r w:rsidR="00F02D22" w:rsidRPr="00BB559E">
        <w:rPr>
          <w:rFonts w:eastAsia="Arial" w:cs="Calibri"/>
          <w:lang w:val="en-GB"/>
          <w14:ligatures w14:val="none"/>
        </w:rPr>
        <w:t xml:space="preserve">(ECHA) activities, but not limited to them. It focuses on batteries, F-Gases (fluorinated gases), OHS (occupational health and safety), PFAS (Per- and polyfluoroalkyl substances), REACH (Registration, Evaluation, </w:t>
      </w:r>
      <w:r w:rsidR="00E743E5" w:rsidRPr="00BB559E">
        <w:rPr>
          <w:rFonts w:eastAsia="Arial" w:cs="Calibri"/>
          <w:lang w:val="en-GB"/>
          <w14:ligatures w14:val="none"/>
        </w:rPr>
        <w:t>Authorisation</w:t>
      </w:r>
      <w:r w:rsidR="00F02D22" w:rsidRPr="00BB559E">
        <w:rPr>
          <w:rFonts w:eastAsia="Arial" w:cs="Calibri"/>
          <w:lang w:val="en-GB"/>
          <w14:ligatures w14:val="none"/>
        </w:rPr>
        <w:t xml:space="preserve"> and restriction of Chemicals), RoHS (Restriction of Hazardous Substances), SCIP (substances of concern in products), and WEEE (waste electrical and electronic equipment). It updates </w:t>
      </w:r>
      <w:bookmarkStart w:id="1" w:name="_Hlk158207339"/>
      <w:r w:rsidR="00F02D22" w:rsidRPr="00BB559E">
        <w:rPr>
          <w:rFonts w:eastAsia="Arial" w:cs="Calibri"/>
          <w:lang w:val="en-GB"/>
          <w14:ligatures w14:val="none"/>
        </w:rPr>
        <w:t>the</w:t>
      </w:r>
      <w:r w:rsidR="00AD1C5A" w:rsidRPr="00BB559E">
        <w:rPr>
          <w:rFonts w:eastAsia="Arial" w:cs="Calibri"/>
          <w:lang w:val="en-GB"/>
          <w14:ligatures w14:val="none"/>
        </w:rPr>
        <w:t xml:space="preserve"> </w:t>
      </w:r>
      <w:hyperlink r:id="rId14" w:history="1">
        <w:r w:rsidR="00F02D22" w:rsidRPr="00BB559E">
          <w:rPr>
            <w:rStyle w:val="Hyperlink"/>
            <w:rFonts w:eastAsia="Arial" w:cs="Calibri"/>
            <w:b/>
            <w:bCs/>
            <w:color w:val="008338"/>
            <w:lang w:val="en-GB"/>
            <w14:ligatures w14:val="none"/>
          </w:rPr>
          <w:t>Rail Industry Substance List (RISL)</w:t>
        </w:r>
      </w:hyperlink>
      <w:bookmarkEnd w:id="1"/>
      <w:r w:rsidR="00F02D22" w:rsidRPr="00BB559E">
        <w:rPr>
          <w:rFonts w:eastAsia="Arial" w:cs="Calibri"/>
          <w:lang w:val="en-GB"/>
          <w14:ligatures w14:val="none"/>
        </w:rPr>
        <w:t>.</w:t>
      </w:r>
    </w:p>
    <w:p w14:paraId="2897B7C5" w14:textId="77777777" w:rsidR="00F15456" w:rsidRPr="00BB559E" w:rsidRDefault="00F15456" w:rsidP="000C72A6">
      <w:pPr>
        <w:spacing w:line="360" w:lineRule="auto"/>
        <w:jc w:val="both"/>
        <w:rPr>
          <w:rFonts w:eastAsia="Arial" w:cs="Calibri"/>
          <w:lang w:val="en-GB"/>
          <w14:ligatures w14:val="none"/>
        </w:rPr>
      </w:pPr>
    </w:p>
    <w:p w14:paraId="05B155B5" w14:textId="7DD79845" w:rsidR="00F15456" w:rsidRPr="00BB559E" w:rsidRDefault="00F15456" w:rsidP="00F15456">
      <w:pPr>
        <w:pStyle w:val="Heading2"/>
        <w:spacing w:before="0" w:after="0"/>
        <w:rPr>
          <w:rFonts w:ascii="Aptos" w:hAnsi="Aptos" w:cs="Calibri"/>
          <w:color w:val="008338"/>
          <w:lang w:val="en-GB"/>
        </w:rPr>
      </w:pPr>
      <w:r w:rsidRPr="00BB559E">
        <w:rPr>
          <w:rFonts w:ascii="Aptos" w:hAnsi="Aptos" w:cs="Calibri"/>
          <w:color w:val="008338"/>
          <w:lang w:val="en-GB"/>
        </w:rPr>
        <w:t>Legal notices</w:t>
      </w:r>
    </w:p>
    <w:p w14:paraId="48B295FE" w14:textId="77777777" w:rsidR="00F15456" w:rsidRPr="00BB559E" w:rsidRDefault="00F15456" w:rsidP="000C72A6">
      <w:pPr>
        <w:spacing w:line="360" w:lineRule="auto"/>
        <w:jc w:val="both"/>
        <w:rPr>
          <w:rFonts w:eastAsia="Arial" w:cs="Calibri"/>
          <w:lang w:val="en-GB"/>
          <w14:ligatures w14:val="none"/>
        </w:rPr>
      </w:pPr>
    </w:p>
    <w:p w14:paraId="4210CD54" w14:textId="1EBFB64A" w:rsidR="00F15456" w:rsidRPr="00BB559E" w:rsidRDefault="00F15456" w:rsidP="000C72A6">
      <w:pPr>
        <w:spacing w:line="360" w:lineRule="auto"/>
        <w:jc w:val="both"/>
        <w:rPr>
          <w:rFonts w:eastAsia="Arial" w:cs="Calibri"/>
          <w:lang w:val="en-GB"/>
          <w14:ligatures w14:val="none"/>
        </w:rPr>
      </w:pPr>
      <w:r w:rsidRPr="00BB559E">
        <w:rPr>
          <w:rFonts w:eastAsia="Arial" w:cs="Calibri"/>
          <w:lang w:val="en-GB"/>
          <w14:ligatures w14:val="none"/>
        </w:rPr>
        <w:t xml:space="preserve">The information in this document is for reference only and may not be </w:t>
      </w:r>
      <w:r w:rsidR="00F86689" w:rsidRPr="00BB559E">
        <w:rPr>
          <w:rFonts w:eastAsia="Arial" w:cs="Calibri"/>
          <w:lang w:val="en-GB"/>
          <w14:ligatures w14:val="none"/>
        </w:rPr>
        <w:t>up to date</w:t>
      </w:r>
      <w:r w:rsidRPr="00BB559E">
        <w:rPr>
          <w:rFonts w:eastAsia="Arial" w:cs="Calibri"/>
          <w:lang w:val="en-GB"/>
          <w14:ligatures w14:val="none"/>
        </w:rPr>
        <w:t xml:space="preserve"> or accurate. UNIFE does not guarantee its completeness or reliability. This document should not be used as definitive proof or relied upon for legal purposes. The information may become obsolete over time. Please consult a professional if needed. UNIFE is not responsible for any actions taken based on this document.</w:t>
      </w:r>
    </w:p>
    <w:p w14:paraId="7735FE10" w14:textId="729513DE" w:rsidR="000A46E6" w:rsidRPr="00BB559E" w:rsidRDefault="000A46E6">
      <w:pPr>
        <w:spacing w:after="160" w:line="259" w:lineRule="auto"/>
        <w:rPr>
          <w:rFonts w:eastAsia="Arial" w:cs="Calibri"/>
          <w:lang w:val="en-GB"/>
          <w14:ligatures w14:val="none"/>
        </w:rPr>
      </w:pPr>
      <w:r w:rsidRPr="00BB559E">
        <w:rPr>
          <w:rFonts w:eastAsia="Arial" w:cs="Calibri"/>
          <w:lang w:val="en-GB"/>
          <w14:ligatures w14:val="none"/>
        </w:rPr>
        <w:br w:type="page"/>
      </w:r>
    </w:p>
    <w:p w14:paraId="370095A2" w14:textId="173587EE" w:rsidR="00F02D22" w:rsidRPr="00BB559E" w:rsidRDefault="00F02D22" w:rsidP="000C72A6">
      <w:pPr>
        <w:pStyle w:val="Heading2"/>
        <w:spacing w:before="0" w:after="0"/>
        <w:rPr>
          <w:rFonts w:ascii="Aptos" w:hAnsi="Aptos" w:cs="Calibri"/>
          <w:color w:val="008338"/>
          <w:lang w:val="en-GB"/>
        </w:rPr>
      </w:pPr>
      <w:r w:rsidRPr="00BB559E">
        <w:rPr>
          <w:rFonts w:ascii="Aptos" w:hAnsi="Aptos" w:cs="Calibri"/>
          <w:color w:val="008338"/>
          <w:lang w:val="en-GB"/>
        </w:rPr>
        <w:lastRenderedPageBreak/>
        <w:t>About RISL</w:t>
      </w:r>
    </w:p>
    <w:p w14:paraId="4466DC64" w14:textId="77777777" w:rsidR="00351724" w:rsidRPr="00BB559E" w:rsidRDefault="00351724" w:rsidP="000C72A6">
      <w:pPr>
        <w:spacing w:line="360" w:lineRule="auto"/>
        <w:jc w:val="both"/>
        <w:rPr>
          <w:rFonts w:eastAsia="Arial" w:cs="Calibri"/>
          <w:lang w:val="en-GB"/>
          <w14:ligatures w14:val="none"/>
        </w:rPr>
      </w:pPr>
    </w:p>
    <w:p w14:paraId="48D77D77" w14:textId="2E06FBD1" w:rsidR="00F02D22" w:rsidRPr="00BB559E" w:rsidRDefault="00F02D22" w:rsidP="000C72A6">
      <w:pPr>
        <w:spacing w:line="360" w:lineRule="auto"/>
        <w:jc w:val="both"/>
        <w:rPr>
          <w:rFonts w:eastAsia="Arial" w:cs="Calibri"/>
          <w:lang w:val="en-GB"/>
          <w14:ligatures w14:val="none"/>
        </w:rPr>
      </w:pPr>
      <w:r w:rsidRPr="00BB559E">
        <w:rPr>
          <w:rFonts w:eastAsia="Arial" w:cs="Calibri"/>
          <w:lang w:val="en-GB"/>
          <w14:ligatures w14:val="none"/>
        </w:rPr>
        <w:t xml:space="preserve">The benefit of a </w:t>
      </w:r>
      <w:r w:rsidR="007D796F" w:rsidRPr="00BB559E">
        <w:rPr>
          <w:rFonts w:eastAsia="Arial" w:cs="Calibri"/>
          <w:lang w:val="en-GB"/>
          <w14:ligatures w14:val="none"/>
        </w:rPr>
        <w:t>joint</w:t>
      </w:r>
      <w:r w:rsidRPr="00BB559E">
        <w:rPr>
          <w:rFonts w:eastAsia="Arial" w:cs="Calibri"/>
          <w:lang w:val="en-GB"/>
          <w14:ligatures w14:val="none"/>
        </w:rPr>
        <w:t xml:space="preserve"> industry approach is improved control </w:t>
      </w:r>
      <w:r w:rsidR="00F86689" w:rsidRPr="00BB559E">
        <w:rPr>
          <w:rFonts w:eastAsia="Arial" w:cs="Calibri"/>
          <w:lang w:val="en-GB"/>
          <w14:ligatures w14:val="none"/>
        </w:rPr>
        <w:t>over product composition through increased transparency and a harmonised flow of information across</w:t>
      </w:r>
      <w:r w:rsidRPr="00BB559E">
        <w:rPr>
          <w:rFonts w:eastAsia="Arial" w:cs="Calibri"/>
          <w:lang w:val="en-GB"/>
          <w14:ligatures w14:val="none"/>
        </w:rPr>
        <w:t xml:space="preserve"> the supply chain. This is necessary </w:t>
      </w:r>
      <w:r w:rsidR="00F86689" w:rsidRPr="00BB559E">
        <w:rPr>
          <w:rFonts w:eastAsia="Arial" w:cs="Calibri"/>
          <w:lang w:val="en-GB"/>
          <w14:ligatures w14:val="none"/>
        </w:rPr>
        <w:t>to improve the environmental performance of rail products, provide evidence of legal environmental compliance, and serve as a basis</w:t>
      </w:r>
      <w:r w:rsidRPr="00BB559E">
        <w:rPr>
          <w:rFonts w:eastAsia="Arial" w:cs="Calibri"/>
          <w:lang w:val="en-GB"/>
          <w14:ligatures w14:val="none"/>
        </w:rPr>
        <w:t xml:space="preserve"> for further assessment. Advanced product knowledge can also lead to reduced costs for maintenance and end-of-life activities.</w:t>
      </w:r>
    </w:p>
    <w:p w14:paraId="0E41C0DF" w14:textId="77777777" w:rsidR="00F02D22" w:rsidRPr="00BB559E" w:rsidRDefault="00F02D22" w:rsidP="000C72A6">
      <w:pPr>
        <w:spacing w:line="360" w:lineRule="auto"/>
        <w:jc w:val="both"/>
        <w:rPr>
          <w:rFonts w:eastAsia="Arial" w:cs="Calibri"/>
          <w:lang w:val="en-GB"/>
          <w14:ligatures w14:val="none"/>
        </w:rPr>
      </w:pPr>
    </w:p>
    <w:p w14:paraId="4E716AC0" w14:textId="701BE63D" w:rsidR="00204A89"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 xml:space="preserve">UNIFE has developed </w:t>
      </w:r>
      <w:r w:rsidR="00F02D22" w:rsidRPr="00BB559E">
        <w:rPr>
          <w:rFonts w:eastAsia="Arial" w:cs="Calibri"/>
          <w:lang w:val="en-GB"/>
          <w14:ligatures w14:val="none"/>
        </w:rPr>
        <w:t xml:space="preserve">the </w:t>
      </w:r>
      <w:bookmarkStart w:id="2" w:name="_Hlk158208480"/>
      <w:r w:rsidR="00F02D22" w:rsidRPr="00BB559E">
        <w:rPr>
          <w:rFonts w:eastAsia="Arial" w:cs="Calibri"/>
          <w:color w:val="008338"/>
          <w:lang w:val="en-GB"/>
          <w14:ligatures w14:val="none"/>
        </w:rPr>
        <w:fldChar w:fldCharType="begin"/>
      </w:r>
      <w:r w:rsidR="00F02D22" w:rsidRPr="00BB559E">
        <w:rPr>
          <w:rFonts w:eastAsia="Arial" w:cs="Calibri"/>
          <w:color w:val="008338"/>
          <w:lang w:val="en-GB"/>
          <w14:ligatures w14:val="none"/>
        </w:rPr>
        <w:instrText>HYPERLINK "https://www.unife.org/activities/environment-and-sustainability/rail-industry-substance-list/"</w:instrText>
      </w:r>
      <w:r w:rsidR="00F02D22" w:rsidRPr="00BB559E">
        <w:rPr>
          <w:rFonts w:eastAsia="Arial" w:cs="Calibri"/>
          <w:color w:val="008338"/>
          <w:lang w:val="en-GB"/>
          <w14:ligatures w14:val="none"/>
        </w:rPr>
      </w:r>
      <w:r w:rsidR="00F02D22" w:rsidRPr="00BB559E">
        <w:rPr>
          <w:rFonts w:eastAsia="Arial" w:cs="Calibri"/>
          <w:color w:val="008338"/>
          <w:lang w:val="en-GB"/>
          <w14:ligatures w14:val="none"/>
        </w:rPr>
        <w:fldChar w:fldCharType="separate"/>
      </w:r>
      <w:r w:rsidR="00F02D22" w:rsidRPr="00BB559E">
        <w:rPr>
          <w:rStyle w:val="Hyperlink"/>
          <w:rFonts w:eastAsia="Arial" w:cs="Calibri"/>
          <w:b/>
          <w:bCs/>
          <w:color w:val="008338"/>
          <w:lang w:val="en-GB"/>
          <w14:ligatures w14:val="none"/>
        </w:rPr>
        <w:t>Rail Industry Substance List (RISL)</w:t>
      </w:r>
      <w:r w:rsidR="00F02D22" w:rsidRPr="00BB559E">
        <w:rPr>
          <w:rFonts w:eastAsia="Arial" w:cs="Calibri"/>
          <w:color w:val="008338"/>
          <w:lang w:val="en-GB"/>
          <w14:ligatures w14:val="none"/>
        </w:rPr>
        <w:fldChar w:fldCharType="end"/>
      </w:r>
      <w:bookmarkEnd w:id="2"/>
      <w:r w:rsidR="00F02D22" w:rsidRPr="00BB559E">
        <w:rPr>
          <w:rFonts w:eastAsia="Arial" w:cs="Calibri"/>
          <w:lang w:val="en-GB"/>
          <w14:ligatures w14:val="none"/>
        </w:rPr>
        <w:t xml:space="preserve">, </w:t>
      </w:r>
      <w:r w:rsidRPr="00BB559E">
        <w:rPr>
          <w:rFonts w:eastAsia="Arial" w:cs="Calibri"/>
          <w:lang w:val="en-GB"/>
          <w14:ligatures w14:val="none"/>
        </w:rPr>
        <w:t xml:space="preserve">which shows the </w:t>
      </w:r>
      <w:r w:rsidR="00F02D22" w:rsidRPr="00BB559E">
        <w:rPr>
          <w:rFonts w:eastAsia="Arial" w:cs="Calibri"/>
          <w:lang w:val="en-GB"/>
          <w14:ligatures w14:val="none"/>
        </w:rPr>
        <w:t>substance controls applicable to</w:t>
      </w:r>
      <w:r w:rsidRPr="00BB559E">
        <w:rPr>
          <w:rFonts w:eastAsia="Arial" w:cs="Calibri"/>
          <w:lang w:val="en-GB"/>
          <w14:ligatures w14:val="none"/>
        </w:rPr>
        <w:t xml:space="preserve"> the railway industry</w:t>
      </w:r>
      <w:r w:rsidR="0013158B" w:rsidRPr="00BB559E">
        <w:rPr>
          <w:rFonts w:eastAsia="Arial" w:cs="Calibri"/>
          <w:lang w:val="en-GB"/>
          <w14:ligatures w14:val="none"/>
        </w:rPr>
        <w:t xml:space="preserve"> </w:t>
      </w:r>
      <w:bookmarkStart w:id="3" w:name="_Hlk160642718"/>
      <w:r w:rsidR="0013158B" w:rsidRPr="00BB559E">
        <w:rPr>
          <w:rFonts w:eastAsia="Arial" w:cs="Calibri"/>
          <w:lang w:val="en-GB"/>
          <w14:ligatures w14:val="none"/>
        </w:rPr>
        <w:t>in the European Union</w:t>
      </w:r>
      <w:r w:rsidR="007A7AAC" w:rsidRPr="00BB559E">
        <w:rPr>
          <w:rFonts w:eastAsia="Arial" w:cs="Calibri"/>
          <w:lang w:val="en-GB"/>
          <w14:ligatures w14:val="none"/>
        </w:rPr>
        <w:t>,</w:t>
      </w:r>
      <w:r w:rsidR="00AD1C5A" w:rsidRPr="00BB559E">
        <w:rPr>
          <w:rFonts w:eastAsia="Arial" w:cs="Calibri"/>
          <w:lang w:val="en-GB"/>
          <w14:ligatures w14:val="none"/>
        </w:rPr>
        <w:t xml:space="preserve"> </w:t>
      </w:r>
      <w:r w:rsidR="00541EF8" w:rsidRPr="00BB559E">
        <w:rPr>
          <w:rFonts w:eastAsia="Arial" w:cs="Calibri"/>
          <w:lang w:val="en-GB"/>
          <w14:ligatures w14:val="none"/>
        </w:rPr>
        <w:t xml:space="preserve">Australia, Canada, the United Kingdom (UK), the </w:t>
      </w:r>
      <w:r w:rsidR="00AD1C5A" w:rsidRPr="00BB559E">
        <w:rPr>
          <w:rFonts w:eastAsia="Arial" w:cs="Calibri"/>
          <w:lang w:val="en-GB"/>
          <w14:ligatures w14:val="none"/>
        </w:rPr>
        <w:t>United States of America (</w:t>
      </w:r>
      <w:r w:rsidR="00541EF8" w:rsidRPr="00BB559E">
        <w:rPr>
          <w:rFonts w:eastAsia="Arial" w:cs="Calibri"/>
          <w:lang w:val="en-GB"/>
          <w14:ligatures w14:val="none"/>
        </w:rPr>
        <w:t>USA</w:t>
      </w:r>
      <w:r w:rsidR="00AD1C5A" w:rsidRPr="00BB559E">
        <w:rPr>
          <w:rFonts w:eastAsia="Arial" w:cs="Calibri"/>
          <w:lang w:val="en-GB"/>
          <w14:ligatures w14:val="none"/>
        </w:rPr>
        <w:t>)</w:t>
      </w:r>
      <w:r w:rsidR="00541EF8" w:rsidRPr="00BB559E">
        <w:rPr>
          <w:rFonts w:eastAsia="Arial" w:cs="Calibri"/>
          <w:lang w:val="en-GB"/>
          <w14:ligatures w14:val="none"/>
        </w:rPr>
        <w:t>, and Switzerland</w:t>
      </w:r>
      <w:bookmarkEnd w:id="3"/>
      <w:r w:rsidR="00541EF8" w:rsidRPr="00BB559E">
        <w:rPr>
          <w:rFonts w:eastAsia="Arial" w:cs="Calibri"/>
          <w:lang w:val="en-GB"/>
          <w14:ligatures w14:val="none"/>
        </w:rPr>
        <w:t>.</w:t>
      </w:r>
      <w:bookmarkStart w:id="4" w:name="_Hlk160641431"/>
    </w:p>
    <w:bookmarkEnd w:id="4"/>
    <w:p w14:paraId="565CBEC3" w14:textId="77777777" w:rsidR="00391ACE" w:rsidRPr="00BB559E" w:rsidRDefault="00391ACE" w:rsidP="000C72A6">
      <w:pPr>
        <w:spacing w:line="360" w:lineRule="auto"/>
        <w:jc w:val="both"/>
        <w:rPr>
          <w:lang w:val="en-GB"/>
        </w:rPr>
      </w:pPr>
    </w:p>
    <w:p w14:paraId="4E96A1EF" w14:textId="77777777" w:rsidR="00BB559E" w:rsidRPr="00BB559E" w:rsidRDefault="00BB559E" w:rsidP="00BB559E">
      <w:pPr>
        <w:spacing w:line="360" w:lineRule="auto"/>
        <w:jc w:val="both"/>
        <w:rPr>
          <w:lang w:val="en-GB"/>
        </w:rPr>
      </w:pPr>
      <w:r w:rsidRPr="00BB559E">
        <w:rPr>
          <w:lang w:val="en-GB"/>
        </w:rPr>
        <w:t>The RISL separates substances into prohibited in the area of restriction, declarable for assessment (that shall be avoided), and declarable for information. It aims to inform suppliers and sub-suppliers which materials and substances must not be used, or should not be used.</w:t>
      </w:r>
    </w:p>
    <w:p w14:paraId="2709A07D" w14:textId="14690A64" w:rsidR="00BB559E" w:rsidRPr="00BB559E" w:rsidRDefault="00BB559E" w:rsidP="000C72A6">
      <w:pPr>
        <w:spacing w:line="360" w:lineRule="auto"/>
        <w:jc w:val="both"/>
        <w:rPr>
          <w:lang w:val="en-GB"/>
        </w:rPr>
      </w:pPr>
      <w:r w:rsidRPr="00BB559E">
        <w:rPr>
          <w:lang w:val="en-GB"/>
        </w:rPr>
        <w:t>UNIFE established this document to help SMEs understand how to apply the RISL and comply with European</w:t>
      </w:r>
      <w:r w:rsidR="001A1475">
        <w:rPr>
          <w:lang w:val="en-GB"/>
        </w:rPr>
        <w:t xml:space="preserve"> and international</w:t>
      </w:r>
      <w:r w:rsidRPr="00BB559E">
        <w:rPr>
          <w:lang w:val="en-GB"/>
        </w:rPr>
        <w:t xml:space="preserve"> legislation.</w:t>
      </w:r>
    </w:p>
    <w:p w14:paraId="4CA67B9F" w14:textId="77777777" w:rsidR="00BB559E" w:rsidRPr="00BB559E" w:rsidRDefault="00BB559E" w:rsidP="000C72A6">
      <w:pPr>
        <w:spacing w:line="360" w:lineRule="auto"/>
        <w:jc w:val="both"/>
        <w:rPr>
          <w:lang w:val="en-GB"/>
        </w:rPr>
      </w:pPr>
    </w:p>
    <w:p w14:paraId="67847BCD" w14:textId="26357148" w:rsidR="00391ACE" w:rsidRPr="00BB559E" w:rsidRDefault="00391ACE" w:rsidP="000C72A6">
      <w:pPr>
        <w:spacing w:line="360" w:lineRule="auto"/>
        <w:jc w:val="both"/>
        <w:rPr>
          <w:rFonts w:cs="Calibri"/>
          <w:lang w:val="en-GB"/>
        </w:rPr>
      </w:pPr>
      <w:r w:rsidRPr="00BB559E">
        <w:rPr>
          <w:rFonts w:cs="Calibri"/>
          <w:lang w:val="en-GB"/>
        </w:rPr>
        <w:t>The exhaustive list of regulations included in the RISL is the following:</w:t>
      </w:r>
    </w:p>
    <w:p w14:paraId="03CA0BC8" w14:textId="475A79CC" w:rsidR="003C23AF" w:rsidRPr="00BB559E" w:rsidRDefault="00FF3A1F" w:rsidP="000C72A6">
      <w:pPr>
        <w:spacing w:line="360" w:lineRule="auto"/>
        <w:jc w:val="both"/>
        <w:rPr>
          <w:rFonts w:cs="Calibri"/>
          <w:b/>
          <w:bCs/>
          <w:lang w:val="en-GB"/>
        </w:rPr>
      </w:pPr>
      <w:r w:rsidRPr="00BB559E">
        <w:rPr>
          <w:rFonts w:cs="Calibri"/>
          <w:b/>
          <w:bCs/>
          <w:lang w:val="en-GB"/>
        </w:rPr>
        <w:t>European Economic Area (including the European Union)</w:t>
      </w:r>
    </w:p>
    <w:p w14:paraId="61F6FC1C" w14:textId="1403612A" w:rsidR="00391ACE" w:rsidRPr="00BB559E" w:rsidRDefault="00391ACE" w:rsidP="00FF3A1F">
      <w:pPr>
        <w:pStyle w:val="ListParagraph"/>
        <w:numPr>
          <w:ilvl w:val="0"/>
          <w:numId w:val="14"/>
        </w:numPr>
        <w:spacing w:line="360" w:lineRule="auto"/>
        <w:jc w:val="both"/>
        <w:rPr>
          <w:rFonts w:cs="Calibri"/>
          <w:lang w:val="en-GB"/>
        </w:rPr>
      </w:pPr>
      <w:hyperlink r:id="rId15" w:history="1">
        <w:r w:rsidRPr="00BB559E">
          <w:rPr>
            <w:rStyle w:val="Hyperlink"/>
            <w:rFonts w:cs="Calibri"/>
            <w:color w:val="008338"/>
            <w:lang w:val="en-GB"/>
          </w:rPr>
          <w:t>Regulation (EC) No 1907/2006</w:t>
        </w:r>
      </w:hyperlink>
      <w:r w:rsidRPr="00BB559E">
        <w:rPr>
          <w:rFonts w:cs="Calibri"/>
          <w:lang w:val="en-GB"/>
        </w:rPr>
        <w:t xml:space="preserve"> </w:t>
      </w:r>
      <w:r w:rsidR="00216713" w:rsidRPr="00BB559E">
        <w:rPr>
          <w:rFonts w:cs="Calibri"/>
          <w:lang w:val="en-GB"/>
        </w:rPr>
        <w:t>concerning the Registration, Evaluation, Authorisation and Restriction of Chemicals (REACH);</w:t>
      </w:r>
    </w:p>
    <w:p w14:paraId="188AB28A" w14:textId="3F23F359" w:rsidR="00A34065" w:rsidRPr="00BB559E" w:rsidRDefault="00A34065" w:rsidP="00A34065">
      <w:pPr>
        <w:pStyle w:val="ListParagraph"/>
        <w:numPr>
          <w:ilvl w:val="0"/>
          <w:numId w:val="14"/>
        </w:numPr>
        <w:spacing w:line="360" w:lineRule="auto"/>
        <w:jc w:val="both"/>
        <w:rPr>
          <w:rFonts w:cs="Calibri"/>
          <w:lang w:val="en-GB"/>
        </w:rPr>
      </w:pPr>
      <w:hyperlink r:id="rId16" w:history="1">
        <w:r w:rsidRPr="00BB559E">
          <w:rPr>
            <w:rStyle w:val="Hyperlink"/>
            <w:rFonts w:cs="Calibri"/>
            <w:color w:val="008338"/>
            <w:lang w:val="en-GB"/>
          </w:rPr>
          <w:t>Regulation (EC) No 1272/2008</w:t>
        </w:r>
      </w:hyperlink>
      <w:r w:rsidRPr="00BB559E">
        <w:rPr>
          <w:rFonts w:cs="Calibri"/>
          <w:lang w:val="en-GB"/>
        </w:rPr>
        <w:t xml:space="preserve"> on classification, labelling and packaging of substances and mixtures (CLP);</w:t>
      </w:r>
    </w:p>
    <w:p w14:paraId="5B32B7DB" w14:textId="47C8C206" w:rsidR="00391ACE" w:rsidRPr="001A1475" w:rsidRDefault="00216713" w:rsidP="00FF3A1F">
      <w:pPr>
        <w:pStyle w:val="ListParagraph"/>
        <w:numPr>
          <w:ilvl w:val="0"/>
          <w:numId w:val="14"/>
        </w:numPr>
        <w:spacing w:line="360" w:lineRule="auto"/>
        <w:jc w:val="both"/>
        <w:rPr>
          <w:rFonts w:cs="Calibri"/>
          <w:lang w:val="fr-BE"/>
        </w:rPr>
      </w:pPr>
      <w:hyperlink r:id="rId17" w:history="1">
        <w:r w:rsidRPr="001A1475">
          <w:rPr>
            <w:rStyle w:val="Hyperlink"/>
            <w:rFonts w:cs="Calibri"/>
            <w:color w:val="008338"/>
            <w:lang w:val="fr-BE"/>
          </w:rPr>
          <w:t xml:space="preserve">Regulation </w:t>
        </w:r>
        <w:r w:rsidR="00391ACE" w:rsidRPr="001A1475">
          <w:rPr>
            <w:rStyle w:val="Hyperlink"/>
            <w:rFonts w:cs="Calibri"/>
            <w:color w:val="008338"/>
            <w:lang w:val="fr-BE"/>
          </w:rPr>
          <w:t>(EU) 2019/1021</w:t>
        </w:r>
      </w:hyperlink>
      <w:r w:rsidR="00391ACE" w:rsidRPr="001A1475">
        <w:rPr>
          <w:rFonts w:cs="Calibri"/>
          <w:lang w:val="fr-BE"/>
        </w:rPr>
        <w:t xml:space="preserve"> </w:t>
      </w:r>
      <w:r w:rsidRPr="001A1475">
        <w:rPr>
          <w:rFonts w:cs="Calibri"/>
          <w:lang w:val="fr-BE"/>
        </w:rPr>
        <w:t>on persistent organic pollutants (POPs)</w:t>
      </w:r>
      <w:r w:rsidR="00851DA2" w:rsidRPr="001A1475">
        <w:rPr>
          <w:rFonts w:cs="Calibri"/>
          <w:lang w:val="fr-BE"/>
        </w:rPr>
        <w:t>;</w:t>
      </w:r>
    </w:p>
    <w:p w14:paraId="72B74CFF" w14:textId="53ED2E65" w:rsidR="003C23AF" w:rsidRPr="00BB559E" w:rsidRDefault="003C23AF" w:rsidP="00FF3A1F">
      <w:pPr>
        <w:pStyle w:val="ListParagraph"/>
        <w:numPr>
          <w:ilvl w:val="0"/>
          <w:numId w:val="14"/>
        </w:numPr>
        <w:spacing w:line="360" w:lineRule="auto"/>
        <w:jc w:val="both"/>
        <w:rPr>
          <w:rFonts w:cs="Calibri"/>
          <w:lang w:val="en-GB"/>
        </w:rPr>
      </w:pPr>
      <w:hyperlink r:id="rId18" w:history="1">
        <w:r w:rsidRPr="00BB559E">
          <w:rPr>
            <w:rStyle w:val="Hyperlink"/>
            <w:rFonts w:cs="Calibri"/>
            <w:color w:val="008338"/>
            <w:lang w:val="en-GB"/>
          </w:rPr>
          <w:t>Regulation (EU) 2024/590</w:t>
        </w:r>
      </w:hyperlink>
      <w:r w:rsidRPr="00BB559E">
        <w:rPr>
          <w:rFonts w:cs="Calibri"/>
          <w:lang w:val="en-GB"/>
        </w:rPr>
        <w:t xml:space="preserve"> on substances that deplete the ozone layer (OzDS);</w:t>
      </w:r>
    </w:p>
    <w:p w14:paraId="56EAE9C3" w14:textId="4E143466" w:rsidR="00391ACE" w:rsidRPr="00BB559E" w:rsidRDefault="00851DA2" w:rsidP="00FF3A1F">
      <w:pPr>
        <w:pStyle w:val="ListParagraph"/>
        <w:numPr>
          <w:ilvl w:val="0"/>
          <w:numId w:val="14"/>
        </w:numPr>
        <w:spacing w:line="360" w:lineRule="auto"/>
        <w:jc w:val="both"/>
        <w:rPr>
          <w:rFonts w:cs="Calibri"/>
          <w:lang w:val="en-GB"/>
        </w:rPr>
      </w:pPr>
      <w:hyperlink r:id="rId19" w:history="1">
        <w:r w:rsidRPr="00BB559E">
          <w:rPr>
            <w:rStyle w:val="Hyperlink"/>
            <w:rFonts w:cs="Calibri"/>
            <w:color w:val="008338"/>
            <w:lang w:val="en-GB"/>
          </w:rPr>
          <w:t>Directive 2011/65/EU</w:t>
        </w:r>
      </w:hyperlink>
      <w:r w:rsidRPr="00BB559E">
        <w:rPr>
          <w:rFonts w:cs="Calibri"/>
          <w:lang w:val="en-GB"/>
        </w:rPr>
        <w:t xml:space="preserve"> on the </w:t>
      </w:r>
      <w:hyperlink r:id="rId20" w:history="1">
        <w:r w:rsidRPr="00BB559E">
          <w:rPr>
            <w:rFonts w:cs="Calibri"/>
            <w:lang w:val="en-GB"/>
          </w:rPr>
          <w:t>restriction of the use of certain hazardous substances in electrical and electronic equipment</w:t>
        </w:r>
      </w:hyperlink>
      <w:r w:rsidRPr="00BB559E">
        <w:rPr>
          <w:rFonts w:cs="Calibri"/>
          <w:lang w:val="en-GB"/>
        </w:rPr>
        <w:t xml:space="preserve"> (</w:t>
      </w:r>
      <w:r w:rsidR="00391ACE" w:rsidRPr="00BB559E">
        <w:rPr>
          <w:rFonts w:cs="Calibri"/>
          <w:lang w:val="en-GB"/>
        </w:rPr>
        <w:t>RoHS 2</w:t>
      </w:r>
      <w:r w:rsidRPr="00BB559E">
        <w:rPr>
          <w:rFonts w:cs="Calibri"/>
          <w:lang w:val="en-GB"/>
        </w:rPr>
        <w:t>);</w:t>
      </w:r>
    </w:p>
    <w:p w14:paraId="0D16B1D7" w14:textId="36F8988E" w:rsidR="00391ACE" w:rsidRPr="00BB559E" w:rsidRDefault="00204A89" w:rsidP="00FF3A1F">
      <w:pPr>
        <w:pStyle w:val="ListParagraph"/>
        <w:numPr>
          <w:ilvl w:val="0"/>
          <w:numId w:val="14"/>
        </w:numPr>
        <w:spacing w:line="360" w:lineRule="auto"/>
        <w:jc w:val="both"/>
        <w:rPr>
          <w:rFonts w:cs="Calibri"/>
          <w:lang w:val="en-GB"/>
        </w:rPr>
      </w:pPr>
      <w:hyperlink r:id="rId21" w:history="1">
        <w:r w:rsidRPr="00BB559E">
          <w:rPr>
            <w:rStyle w:val="Hyperlink"/>
            <w:rFonts w:cs="Calibri"/>
            <w:color w:val="008338"/>
            <w:lang w:val="en-GB"/>
          </w:rPr>
          <w:t>Directive (EU) 2015/863</w:t>
        </w:r>
      </w:hyperlink>
      <w:r w:rsidRPr="00BB559E">
        <w:rPr>
          <w:rFonts w:cs="Calibri"/>
          <w:lang w:val="en-GB"/>
        </w:rPr>
        <w:t xml:space="preserve"> as regards the list of restricted substances (</w:t>
      </w:r>
      <w:r w:rsidR="00391ACE" w:rsidRPr="00BB559E">
        <w:rPr>
          <w:rFonts w:cs="Calibri"/>
          <w:lang w:val="en-GB"/>
        </w:rPr>
        <w:t>RoHS 3</w:t>
      </w:r>
      <w:r w:rsidRPr="00BB559E">
        <w:rPr>
          <w:rFonts w:cs="Calibri"/>
          <w:lang w:val="en-GB"/>
        </w:rPr>
        <w:t>);</w:t>
      </w:r>
    </w:p>
    <w:p w14:paraId="6879E4E1" w14:textId="17A90E5F" w:rsidR="00EA1BA3" w:rsidRPr="00BB559E" w:rsidRDefault="00391ACE" w:rsidP="00FF3A1F">
      <w:pPr>
        <w:pStyle w:val="ListParagraph"/>
        <w:numPr>
          <w:ilvl w:val="0"/>
          <w:numId w:val="14"/>
        </w:numPr>
        <w:spacing w:line="360" w:lineRule="auto"/>
        <w:jc w:val="both"/>
        <w:rPr>
          <w:rFonts w:cs="Calibri"/>
          <w:lang w:val="en-GB"/>
        </w:rPr>
      </w:pPr>
      <w:hyperlink r:id="rId22" w:history="1">
        <w:r w:rsidRPr="00BB559E">
          <w:rPr>
            <w:rStyle w:val="Hyperlink"/>
            <w:rFonts w:cs="Calibri"/>
            <w:color w:val="008338"/>
            <w:lang w:val="en-GB"/>
          </w:rPr>
          <w:t>D</w:t>
        </w:r>
        <w:r w:rsidR="00EA1BA3" w:rsidRPr="00BB559E">
          <w:rPr>
            <w:rStyle w:val="Hyperlink"/>
            <w:rFonts w:cs="Calibri"/>
            <w:color w:val="008338"/>
            <w:lang w:val="en-GB"/>
          </w:rPr>
          <w:t>irective 2000/53/EC</w:t>
        </w:r>
      </w:hyperlink>
      <w:r w:rsidR="00EA1BA3" w:rsidRPr="00BB559E">
        <w:rPr>
          <w:rFonts w:cs="Calibri"/>
          <w:lang w:val="en-GB"/>
        </w:rPr>
        <w:t xml:space="preserve"> on end-of-life vehicles;</w:t>
      </w:r>
    </w:p>
    <w:p w14:paraId="34876576" w14:textId="76070C48" w:rsidR="00FF3A1F" w:rsidRPr="00BB559E" w:rsidRDefault="00FF3A1F" w:rsidP="00FF3A1F">
      <w:pPr>
        <w:pStyle w:val="ListParagraph"/>
        <w:numPr>
          <w:ilvl w:val="0"/>
          <w:numId w:val="14"/>
        </w:numPr>
        <w:spacing w:line="360" w:lineRule="auto"/>
        <w:jc w:val="both"/>
        <w:rPr>
          <w:rFonts w:cs="Calibri"/>
          <w:lang w:val="en-GB"/>
        </w:rPr>
      </w:pPr>
      <w:hyperlink r:id="rId23" w:history="1">
        <w:r w:rsidRPr="00BB559E">
          <w:rPr>
            <w:rStyle w:val="Hyperlink"/>
            <w:rFonts w:cs="Calibri"/>
            <w:color w:val="008338"/>
            <w:lang w:val="en-GB"/>
          </w:rPr>
          <w:t>Regulation (EU) 2023/1542</w:t>
        </w:r>
      </w:hyperlink>
      <w:r w:rsidRPr="00BB559E">
        <w:rPr>
          <w:rFonts w:cs="Calibri"/>
          <w:lang w:val="en-GB"/>
        </w:rPr>
        <w:t xml:space="preserve"> concerning batteries and waste batteries;</w:t>
      </w:r>
    </w:p>
    <w:p w14:paraId="0B85A6F9" w14:textId="27966413" w:rsidR="00391ACE" w:rsidRPr="00BB559E" w:rsidRDefault="003C23AF" w:rsidP="00FF3A1F">
      <w:pPr>
        <w:pStyle w:val="ListParagraph"/>
        <w:numPr>
          <w:ilvl w:val="0"/>
          <w:numId w:val="14"/>
        </w:numPr>
        <w:spacing w:line="360" w:lineRule="auto"/>
        <w:jc w:val="both"/>
        <w:rPr>
          <w:rFonts w:cs="Calibri"/>
          <w:lang w:val="en-GB"/>
        </w:rPr>
      </w:pPr>
      <w:hyperlink r:id="rId24" w:history="1">
        <w:r w:rsidRPr="00BB559E">
          <w:rPr>
            <w:rStyle w:val="Hyperlink"/>
            <w:rFonts w:cs="Calibri"/>
            <w:color w:val="008338"/>
            <w:lang w:val="en-GB"/>
          </w:rPr>
          <w:t>Regulation (EU) 2024/573</w:t>
        </w:r>
      </w:hyperlink>
      <w:r w:rsidRPr="00BB559E">
        <w:rPr>
          <w:rFonts w:cs="Calibri"/>
          <w:lang w:val="en-GB"/>
        </w:rPr>
        <w:t xml:space="preserve"> on fluorinated greenhouse gases</w:t>
      </w:r>
      <w:r w:rsidR="00FF3A1F" w:rsidRPr="00BB559E">
        <w:rPr>
          <w:rFonts w:cs="Calibri"/>
          <w:lang w:val="en-GB"/>
        </w:rPr>
        <w:t>;</w:t>
      </w:r>
    </w:p>
    <w:p w14:paraId="66723D2C" w14:textId="7B5CEDC6" w:rsidR="007A7AAC" w:rsidRDefault="00EA1BA3" w:rsidP="00FF3A1F">
      <w:pPr>
        <w:pStyle w:val="ListParagraph"/>
        <w:numPr>
          <w:ilvl w:val="0"/>
          <w:numId w:val="14"/>
        </w:numPr>
        <w:spacing w:line="360" w:lineRule="auto"/>
        <w:jc w:val="both"/>
        <w:rPr>
          <w:rFonts w:cs="Calibri"/>
          <w:lang w:val="en-GB"/>
        </w:rPr>
      </w:pPr>
      <w:hyperlink r:id="rId25" w:history="1">
        <w:r w:rsidRPr="00BB559E">
          <w:rPr>
            <w:rStyle w:val="Hyperlink"/>
            <w:rFonts w:cs="Calibri"/>
            <w:color w:val="008338"/>
            <w:lang w:val="en-GB"/>
          </w:rPr>
          <w:t>Regulation (EU) 2017/852</w:t>
        </w:r>
      </w:hyperlink>
      <w:r w:rsidRPr="00BB559E">
        <w:rPr>
          <w:rFonts w:cs="Calibri"/>
          <w:lang w:val="en-GB"/>
        </w:rPr>
        <w:t xml:space="preserve"> on mercury</w:t>
      </w:r>
      <w:r w:rsidR="00FF3A1F" w:rsidRPr="00BB559E">
        <w:rPr>
          <w:rFonts w:cs="Calibri"/>
          <w:lang w:val="en-GB"/>
        </w:rPr>
        <w:t>.</w:t>
      </w:r>
    </w:p>
    <w:p w14:paraId="1B2005B7" w14:textId="77777777" w:rsidR="001A1475" w:rsidRPr="00BB559E" w:rsidRDefault="001A1475" w:rsidP="001A1475">
      <w:pPr>
        <w:pStyle w:val="ListParagraph"/>
        <w:spacing w:line="360" w:lineRule="auto"/>
        <w:jc w:val="both"/>
        <w:rPr>
          <w:rFonts w:cs="Calibri"/>
          <w:lang w:val="en-GB"/>
        </w:rPr>
      </w:pPr>
    </w:p>
    <w:p w14:paraId="1FAED672" w14:textId="2FAAF810" w:rsidR="003C23AF" w:rsidRPr="00BB559E" w:rsidRDefault="003C23AF" w:rsidP="007A7AAC">
      <w:pPr>
        <w:spacing w:line="360" w:lineRule="auto"/>
        <w:jc w:val="both"/>
        <w:rPr>
          <w:rFonts w:cs="Calibri"/>
          <w:b/>
          <w:bCs/>
          <w:lang w:val="en-GB"/>
        </w:rPr>
      </w:pPr>
      <w:r w:rsidRPr="00BB559E">
        <w:rPr>
          <w:rFonts w:cs="Calibri"/>
          <w:b/>
          <w:bCs/>
          <w:lang w:val="en-GB"/>
        </w:rPr>
        <w:lastRenderedPageBreak/>
        <w:t>Australia</w:t>
      </w:r>
    </w:p>
    <w:p w14:paraId="589A6B5F" w14:textId="77777777" w:rsidR="00C171E0" w:rsidRPr="00BB559E" w:rsidRDefault="00F44980" w:rsidP="00C171E0">
      <w:pPr>
        <w:spacing w:line="360" w:lineRule="auto"/>
        <w:ind w:left="720" w:hanging="720"/>
        <w:jc w:val="both"/>
        <w:rPr>
          <w:rFonts w:cs="Calibri"/>
          <w:lang w:val="en-GB"/>
        </w:rPr>
      </w:pPr>
      <w:r w:rsidRPr="00BB559E">
        <w:rPr>
          <w:rFonts w:cs="Calibri"/>
          <w:lang w:val="en-GB"/>
        </w:rPr>
        <w:t>•</w:t>
      </w:r>
      <w:r w:rsidRPr="00BB559E">
        <w:rPr>
          <w:rFonts w:cs="Calibri"/>
          <w:lang w:val="en-GB"/>
        </w:rPr>
        <w:tab/>
      </w:r>
      <w:r w:rsidR="00A35233" w:rsidRPr="00BB559E">
        <w:rPr>
          <w:rFonts w:cs="Calibri"/>
          <w:lang w:val="en-GB"/>
        </w:rPr>
        <w:t xml:space="preserve">Australian </w:t>
      </w:r>
      <w:hyperlink r:id="rId26" w:history="1">
        <w:r w:rsidR="004E2B59" w:rsidRPr="00BB559E">
          <w:rPr>
            <w:rStyle w:val="Hyperlink"/>
            <w:rFonts w:cs="Calibri"/>
            <w:color w:val="008338"/>
            <w:lang w:val="en-GB"/>
          </w:rPr>
          <w:t>Ozone Protection and Synthetic Greenhouse Gas Management Act 1989</w:t>
        </w:r>
      </w:hyperlink>
      <w:r w:rsidR="00D612F4" w:rsidRPr="00BB559E">
        <w:rPr>
          <w:rFonts w:cs="Calibri"/>
          <w:lang w:val="en-GB"/>
        </w:rPr>
        <w:t xml:space="preserve"> – application of </w:t>
      </w:r>
      <w:r w:rsidR="00590692" w:rsidRPr="00BB559E">
        <w:rPr>
          <w:rFonts w:cs="Calibri"/>
          <w:lang w:val="en-GB"/>
        </w:rPr>
        <w:t>ozone-depleting substances and F-gas regulation for Australia</w:t>
      </w:r>
      <w:r w:rsidR="00A35233" w:rsidRPr="00BB559E">
        <w:rPr>
          <w:rFonts w:cs="Calibri"/>
          <w:lang w:val="en-GB"/>
        </w:rPr>
        <w:t>;</w:t>
      </w:r>
    </w:p>
    <w:p w14:paraId="59931F74" w14:textId="30E8F218" w:rsidR="00BD1D0F" w:rsidRPr="00BB559E" w:rsidRDefault="00C171E0" w:rsidP="00C171E0">
      <w:pPr>
        <w:spacing w:line="360" w:lineRule="auto"/>
        <w:ind w:left="720" w:hanging="720"/>
        <w:jc w:val="both"/>
        <w:rPr>
          <w:rFonts w:cs="Calibri"/>
          <w:lang w:val="en-GB"/>
        </w:rPr>
      </w:pPr>
      <w:r w:rsidRPr="00BB559E">
        <w:rPr>
          <w:rFonts w:cs="Calibri"/>
          <w:lang w:val="en-GB"/>
        </w:rPr>
        <w:t>•</w:t>
      </w:r>
      <w:r w:rsidRPr="00BB559E">
        <w:rPr>
          <w:rFonts w:cs="Calibri"/>
          <w:lang w:val="en-GB"/>
        </w:rPr>
        <w:tab/>
      </w:r>
      <w:hyperlink r:id="rId27" w:history="1">
        <w:r w:rsidR="00F44980" w:rsidRPr="00BB559E">
          <w:rPr>
            <w:rStyle w:val="Hyperlink"/>
            <w:rFonts w:cs="Calibri"/>
            <w:color w:val="008338"/>
            <w:lang w:val="en-GB"/>
          </w:rPr>
          <w:t xml:space="preserve">Australian </w:t>
        </w:r>
        <w:r w:rsidR="00A34065" w:rsidRPr="00BB559E">
          <w:rPr>
            <w:rStyle w:val="Hyperlink"/>
            <w:rFonts w:cs="Calibri"/>
            <w:color w:val="008338"/>
            <w:lang w:val="en-GB"/>
          </w:rPr>
          <w:t>Work Health and Safety Regulations</w:t>
        </w:r>
      </w:hyperlink>
      <w:r w:rsidR="00A34065" w:rsidRPr="00BB559E">
        <w:rPr>
          <w:rFonts w:cs="Calibri"/>
          <w:lang w:val="en-GB"/>
        </w:rPr>
        <w:t xml:space="preserve"> (SLI No. 262, 2011)</w:t>
      </w:r>
      <w:r w:rsidR="00917628" w:rsidRPr="00BB559E">
        <w:rPr>
          <w:rFonts w:cs="Calibri"/>
          <w:lang w:val="en-GB"/>
        </w:rPr>
        <w:t xml:space="preserve"> - </w:t>
      </w:r>
      <w:r w:rsidR="00736977" w:rsidRPr="00BB559E">
        <w:rPr>
          <w:rFonts w:cs="Calibri"/>
          <w:lang w:val="en-GB"/>
        </w:rPr>
        <w:t>Only relevant for the processing and handling of materials at maintenance and repair workplaces</w:t>
      </w:r>
      <w:r w:rsidR="00937F4B" w:rsidRPr="00BB559E">
        <w:rPr>
          <w:rFonts w:cs="Calibri"/>
          <w:lang w:val="en-GB"/>
        </w:rPr>
        <w:t>.</w:t>
      </w:r>
    </w:p>
    <w:p w14:paraId="5D2E5A94" w14:textId="09266236" w:rsidR="003C23AF" w:rsidRPr="00BB559E" w:rsidRDefault="003C23AF" w:rsidP="007A7AAC">
      <w:pPr>
        <w:spacing w:line="360" w:lineRule="auto"/>
        <w:jc w:val="both"/>
        <w:rPr>
          <w:rFonts w:cs="Calibri"/>
          <w:b/>
          <w:bCs/>
          <w:lang w:val="en-GB"/>
        </w:rPr>
      </w:pPr>
      <w:r w:rsidRPr="00BB559E">
        <w:rPr>
          <w:rFonts w:cs="Calibri"/>
          <w:b/>
          <w:bCs/>
          <w:lang w:val="en-GB"/>
        </w:rPr>
        <w:t>Canada</w:t>
      </w:r>
    </w:p>
    <w:p w14:paraId="4D6D696A" w14:textId="186EBC41" w:rsidR="00B32020" w:rsidRPr="00BB559E" w:rsidRDefault="007A7AAC" w:rsidP="00B32020">
      <w:pPr>
        <w:spacing w:line="360" w:lineRule="auto"/>
        <w:jc w:val="both"/>
        <w:rPr>
          <w:rFonts w:cs="Calibri"/>
          <w:lang w:val="en-GB"/>
        </w:rPr>
      </w:pPr>
      <w:r w:rsidRPr="00BB559E">
        <w:rPr>
          <w:rFonts w:cs="Calibri"/>
          <w:lang w:val="en-GB"/>
        </w:rPr>
        <w:t>•</w:t>
      </w:r>
      <w:r w:rsidRPr="00BB559E">
        <w:rPr>
          <w:rFonts w:cs="Calibri"/>
          <w:lang w:val="en-GB"/>
        </w:rPr>
        <w:tab/>
      </w:r>
      <w:hyperlink r:id="rId28" w:history="1">
        <w:r w:rsidRPr="00BB559E">
          <w:rPr>
            <w:rStyle w:val="Hyperlink"/>
            <w:rFonts w:cs="Calibri"/>
            <w:color w:val="008338"/>
            <w:lang w:val="en-GB"/>
          </w:rPr>
          <w:t>Canadian Toxic Substance List</w:t>
        </w:r>
      </w:hyperlink>
      <w:r w:rsidRPr="00BB559E">
        <w:rPr>
          <w:rFonts w:cs="Calibri"/>
          <w:lang w:val="en-GB"/>
        </w:rPr>
        <w:t>;</w:t>
      </w:r>
    </w:p>
    <w:p w14:paraId="6EBBDE0B" w14:textId="6E4AD856" w:rsidR="00385DBB" w:rsidRPr="00BB559E" w:rsidRDefault="007A7AAC" w:rsidP="005F3F4B">
      <w:pPr>
        <w:spacing w:line="360" w:lineRule="auto"/>
        <w:ind w:left="720" w:hanging="720"/>
        <w:jc w:val="both"/>
        <w:rPr>
          <w:rFonts w:cs="Calibri"/>
          <w:lang w:val="en-GB"/>
        </w:rPr>
      </w:pPr>
      <w:r w:rsidRPr="00BB559E">
        <w:rPr>
          <w:rFonts w:cs="Calibri"/>
          <w:lang w:val="en-GB"/>
        </w:rPr>
        <w:t>•</w:t>
      </w:r>
      <w:r w:rsidRPr="00BB559E">
        <w:rPr>
          <w:rFonts w:cs="Calibri"/>
          <w:lang w:val="en-GB"/>
        </w:rPr>
        <w:tab/>
      </w:r>
      <w:hyperlink r:id="rId29" w:history="1">
        <w:r w:rsidRPr="00BB559E">
          <w:rPr>
            <w:rStyle w:val="Hyperlink"/>
            <w:rFonts w:cs="Calibri"/>
            <w:color w:val="008338"/>
            <w:lang w:val="en-GB"/>
          </w:rPr>
          <w:t>Canadian (SOR/20</w:t>
        </w:r>
        <w:r w:rsidR="00DB3A74" w:rsidRPr="00BB559E">
          <w:rPr>
            <w:rStyle w:val="Hyperlink"/>
            <w:rFonts w:cs="Calibri"/>
            <w:color w:val="008338"/>
            <w:lang w:val="en-GB"/>
          </w:rPr>
          <w:t>25</w:t>
        </w:r>
        <w:r w:rsidRPr="00BB559E">
          <w:rPr>
            <w:rStyle w:val="Hyperlink"/>
            <w:rFonts w:cs="Calibri"/>
            <w:color w:val="008338"/>
            <w:lang w:val="en-GB"/>
          </w:rPr>
          <w:t>-2</w:t>
        </w:r>
        <w:r w:rsidR="00DB3A74" w:rsidRPr="00BB559E">
          <w:rPr>
            <w:rStyle w:val="Hyperlink"/>
            <w:rFonts w:cs="Calibri"/>
            <w:color w:val="008338"/>
            <w:lang w:val="en-GB"/>
          </w:rPr>
          <w:t>70</w:t>
        </w:r>
        <w:r w:rsidRPr="00BB559E">
          <w:rPr>
            <w:rStyle w:val="Hyperlink"/>
            <w:rFonts w:cs="Calibri"/>
            <w:color w:val="008338"/>
            <w:lang w:val="en-GB"/>
          </w:rPr>
          <w:t>)</w:t>
        </w:r>
      </w:hyperlink>
      <w:r w:rsidRPr="00BB559E">
        <w:rPr>
          <w:rFonts w:cs="Calibri"/>
          <w:lang w:val="en-GB"/>
        </w:rPr>
        <w:t xml:space="preserve"> Prohibition of Certain Toxic Substances Regulations</w:t>
      </w:r>
      <w:r w:rsidR="00DB3A74" w:rsidRPr="00BB559E">
        <w:rPr>
          <w:rFonts w:cs="Calibri"/>
          <w:lang w:val="en-GB"/>
        </w:rPr>
        <w:t xml:space="preserve"> (</w:t>
      </w:r>
      <w:r w:rsidR="005F3F4B" w:rsidRPr="00BB559E">
        <w:rPr>
          <w:rFonts w:cs="Calibri"/>
          <w:lang w:val="en-GB"/>
        </w:rPr>
        <w:t>SOR/2015-270 is repealed and replaced by SOR/2025-270, effective from 30 June 2026)</w:t>
      </w:r>
      <w:r w:rsidR="00385DBB" w:rsidRPr="00BB559E">
        <w:rPr>
          <w:rFonts w:cs="Calibri"/>
          <w:lang w:val="en-GB"/>
        </w:rPr>
        <w:t>;</w:t>
      </w:r>
    </w:p>
    <w:p w14:paraId="39B31C22" w14:textId="6675E321" w:rsidR="00B32020" w:rsidRPr="00BB559E" w:rsidRDefault="00B32020" w:rsidP="00917628">
      <w:pPr>
        <w:spacing w:line="360" w:lineRule="auto"/>
        <w:ind w:left="720" w:hanging="720"/>
        <w:jc w:val="both"/>
        <w:rPr>
          <w:rFonts w:cs="Calibri"/>
          <w:lang w:val="en-GB"/>
        </w:rPr>
      </w:pPr>
      <w:r w:rsidRPr="00BB559E">
        <w:rPr>
          <w:rFonts w:cs="Calibri"/>
          <w:lang w:val="en-GB"/>
        </w:rPr>
        <w:t>•</w:t>
      </w:r>
      <w:r w:rsidRPr="00BB559E">
        <w:rPr>
          <w:rFonts w:cs="Calibri"/>
          <w:lang w:val="en-GB"/>
        </w:rPr>
        <w:tab/>
      </w:r>
      <w:hyperlink r:id="rId30" w:history="1">
        <w:r w:rsidRPr="00BB559E">
          <w:rPr>
            <w:rStyle w:val="Hyperlink"/>
            <w:rFonts w:cs="Calibri"/>
            <w:color w:val="008338"/>
            <w:lang w:val="en-GB"/>
          </w:rPr>
          <w:t>Canad</w:t>
        </w:r>
        <w:r w:rsidR="00DA3F55" w:rsidRPr="00BB559E">
          <w:rPr>
            <w:rStyle w:val="Hyperlink"/>
            <w:rFonts w:cs="Calibri"/>
            <w:color w:val="008338"/>
            <w:lang w:val="en-GB"/>
          </w:rPr>
          <w:t>a Gaz</w:t>
        </w:r>
        <w:r w:rsidR="006207BC" w:rsidRPr="00BB559E">
          <w:rPr>
            <w:rStyle w:val="Hyperlink"/>
            <w:rFonts w:cs="Calibri"/>
            <w:color w:val="008338"/>
            <w:lang w:val="en-GB"/>
          </w:rPr>
          <w:t xml:space="preserve">ette, Part I, Volume 158, Number 30: Supplement on </w:t>
        </w:r>
      </w:hyperlink>
      <w:r w:rsidR="000C2786" w:rsidRPr="00BB559E">
        <w:rPr>
          <w:rFonts w:cs="Calibri"/>
          <w:lang w:val="en-GB"/>
        </w:rPr>
        <w:t>per- and polyfluoroalkyl substances (PFAS).</w:t>
      </w:r>
    </w:p>
    <w:p w14:paraId="297706D2" w14:textId="70224125" w:rsidR="003C23AF" w:rsidRPr="00BB559E" w:rsidRDefault="00FF3A1F" w:rsidP="007A7AAC">
      <w:pPr>
        <w:spacing w:line="360" w:lineRule="auto"/>
        <w:jc w:val="both"/>
        <w:rPr>
          <w:rFonts w:cs="Calibri"/>
          <w:b/>
          <w:bCs/>
          <w:lang w:val="en-GB"/>
        </w:rPr>
      </w:pPr>
      <w:r w:rsidRPr="00BB559E">
        <w:rPr>
          <w:rFonts w:cs="Calibri"/>
          <w:b/>
          <w:bCs/>
          <w:lang w:val="en-GB"/>
        </w:rPr>
        <w:t>United Kingdom</w:t>
      </w:r>
    </w:p>
    <w:p w14:paraId="7D5BCC30" w14:textId="66FF558F" w:rsidR="00FF3A1F" w:rsidRPr="00BB559E" w:rsidRDefault="00391ACE" w:rsidP="00814256">
      <w:pPr>
        <w:spacing w:line="360" w:lineRule="auto"/>
        <w:ind w:left="720" w:hanging="720"/>
        <w:jc w:val="both"/>
        <w:rPr>
          <w:rFonts w:cs="Calibri"/>
          <w:lang w:val="en-GB"/>
        </w:rPr>
      </w:pPr>
      <w:r w:rsidRPr="00BB559E">
        <w:rPr>
          <w:rFonts w:cs="Calibri"/>
          <w:lang w:val="en-GB"/>
        </w:rPr>
        <w:t>•</w:t>
      </w:r>
      <w:r w:rsidRPr="00BB559E">
        <w:rPr>
          <w:rFonts w:cs="Calibri"/>
          <w:lang w:val="en-GB"/>
        </w:rPr>
        <w:tab/>
      </w:r>
      <w:hyperlink r:id="rId31" w:history="1">
        <w:r w:rsidR="007A7AAC" w:rsidRPr="00BB559E">
          <w:rPr>
            <w:rStyle w:val="Hyperlink"/>
            <w:rFonts w:cs="Calibri"/>
            <w:color w:val="008338"/>
            <w:lang w:val="en-GB"/>
          </w:rPr>
          <w:t xml:space="preserve">UK </w:t>
        </w:r>
        <w:r w:rsidR="00BC2C87" w:rsidRPr="00BB559E">
          <w:rPr>
            <w:rStyle w:val="Hyperlink"/>
            <w:rFonts w:cs="Calibri"/>
            <w:color w:val="008338"/>
            <w:lang w:val="en-GB"/>
          </w:rPr>
          <w:t>Fluorinated greenhouse gases and ozone-depleting substances charging scheme</w:t>
        </w:r>
      </w:hyperlink>
      <w:r w:rsidR="007A7AAC" w:rsidRPr="00BB559E">
        <w:rPr>
          <w:rFonts w:cs="Calibri"/>
          <w:lang w:val="en-GB"/>
        </w:rPr>
        <w:t xml:space="preserve"> (UK </w:t>
      </w:r>
      <w:r w:rsidR="00814256" w:rsidRPr="00BB559E">
        <w:rPr>
          <w:rFonts w:cs="Calibri"/>
          <w:lang w:val="en-GB"/>
        </w:rPr>
        <w:t>ODS &amp; F-GASES</w:t>
      </w:r>
      <w:r w:rsidR="007A7AAC" w:rsidRPr="00BB559E">
        <w:rPr>
          <w:rFonts w:cs="Calibri"/>
          <w:lang w:val="en-GB"/>
        </w:rPr>
        <w:t>)</w:t>
      </w:r>
      <w:r w:rsidR="00CC6231" w:rsidRPr="00BB559E">
        <w:rPr>
          <w:rFonts w:cs="Calibri"/>
          <w:lang w:val="en-GB"/>
        </w:rPr>
        <w:t>;</w:t>
      </w:r>
    </w:p>
    <w:p w14:paraId="61488414" w14:textId="5B773B9E" w:rsidR="00ED7FA0" w:rsidRPr="00BB559E" w:rsidRDefault="00ED7FA0" w:rsidP="00ED7FA0">
      <w:pPr>
        <w:spacing w:line="360" w:lineRule="auto"/>
        <w:jc w:val="both"/>
        <w:rPr>
          <w:rFonts w:cs="Calibri"/>
          <w:lang w:val="en-GB"/>
        </w:rPr>
      </w:pPr>
      <w:r w:rsidRPr="00BB559E">
        <w:rPr>
          <w:rFonts w:cs="Calibri"/>
          <w:lang w:val="en-GB"/>
        </w:rPr>
        <w:t>•</w:t>
      </w:r>
      <w:r w:rsidRPr="00BB559E">
        <w:rPr>
          <w:rFonts w:cs="Calibri"/>
          <w:lang w:val="en-GB"/>
        </w:rPr>
        <w:tab/>
      </w:r>
      <w:hyperlink r:id="rId32" w:history="1">
        <w:r w:rsidRPr="00BB559E">
          <w:rPr>
            <w:rStyle w:val="Hyperlink"/>
            <w:rFonts w:cs="Calibri"/>
            <w:color w:val="008338"/>
            <w:lang w:val="en-GB"/>
          </w:rPr>
          <w:t>UK</w:t>
        </w:r>
        <w:r w:rsidR="006C4612" w:rsidRPr="00BB559E">
          <w:rPr>
            <w:rStyle w:val="Hyperlink"/>
            <w:rFonts w:cs="Calibri"/>
            <w:color w:val="008338"/>
            <w:lang w:val="en-GB"/>
          </w:rPr>
          <w:t xml:space="preserve"> Using persistent organic pollutants (POPs)</w:t>
        </w:r>
      </w:hyperlink>
      <w:r w:rsidRPr="00BB559E">
        <w:rPr>
          <w:rFonts w:cs="Calibri"/>
          <w:lang w:val="en-GB"/>
        </w:rPr>
        <w:t xml:space="preserve"> (UK </w:t>
      </w:r>
      <w:r w:rsidR="007E4909" w:rsidRPr="00BB559E">
        <w:rPr>
          <w:rFonts w:cs="Calibri"/>
          <w:lang w:val="en-GB"/>
        </w:rPr>
        <w:t>POP</w:t>
      </w:r>
      <w:r w:rsidR="006C4612" w:rsidRPr="00BB559E">
        <w:rPr>
          <w:rFonts w:cs="Calibri"/>
          <w:lang w:val="en-GB"/>
        </w:rPr>
        <w:t>s</w:t>
      </w:r>
      <w:r w:rsidRPr="00BB559E">
        <w:rPr>
          <w:rFonts w:cs="Calibri"/>
          <w:lang w:val="en-GB"/>
        </w:rPr>
        <w:t>)</w:t>
      </w:r>
      <w:r w:rsidR="00CC6231" w:rsidRPr="00BB559E">
        <w:rPr>
          <w:rFonts w:cs="Calibri"/>
          <w:lang w:val="en-GB"/>
        </w:rPr>
        <w:t>;</w:t>
      </w:r>
    </w:p>
    <w:p w14:paraId="522178D0" w14:textId="42C1AF1B" w:rsidR="00ED7FA0" w:rsidRPr="00BB559E" w:rsidRDefault="00ED7FA0" w:rsidP="00ED7FA0">
      <w:pPr>
        <w:spacing w:line="360" w:lineRule="auto"/>
        <w:jc w:val="both"/>
        <w:rPr>
          <w:rFonts w:cs="Calibri"/>
          <w:lang w:val="en-GB"/>
        </w:rPr>
      </w:pPr>
      <w:r w:rsidRPr="00BB559E">
        <w:rPr>
          <w:rFonts w:cs="Calibri"/>
          <w:lang w:val="en-GB"/>
        </w:rPr>
        <w:t>•</w:t>
      </w:r>
      <w:r w:rsidRPr="00BB559E">
        <w:rPr>
          <w:rFonts w:cs="Calibri"/>
          <w:lang w:val="en-GB"/>
        </w:rPr>
        <w:tab/>
      </w:r>
      <w:hyperlink r:id="rId33" w:history="1">
        <w:r w:rsidRPr="00BB559E">
          <w:rPr>
            <w:rStyle w:val="Hyperlink"/>
            <w:rFonts w:cs="Calibri"/>
            <w:color w:val="008338"/>
            <w:lang w:val="en-GB"/>
          </w:rPr>
          <w:t>UK registration, evaluation, authorisation and restriction of chemicals</w:t>
        </w:r>
      </w:hyperlink>
      <w:r w:rsidRPr="00BB559E">
        <w:rPr>
          <w:rFonts w:cs="Calibri"/>
          <w:lang w:val="en-GB"/>
        </w:rPr>
        <w:t xml:space="preserve"> (UK REACH)</w:t>
      </w:r>
      <w:r w:rsidR="00CC6231" w:rsidRPr="00BB559E">
        <w:rPr>
          <w:rFonts w:cs="Calibri"/>
          <w:lang w:val="en-GB"/>
        </w:rPr>
        <w:t>;</w:t>
      </w:r>
    </w:p>
    <w:p w14:paraId="4C208414" w14:textId="3FE9EA5C" w:rsidR="00ED7FA0" w:rsidRPr="00BB559E" w:rsidRDefault="00ED7FA0" w:rsidP="00ED7FA0">
      <w:pPr>
        <w:spacing w:line="360" w:lineRule="auto"/>
        <w:jc w:val="both"/>
        <w:rPr>
          <w:rFonts w:cs="Calibri"/>
          <w:lang w:val="en-GB"/>
        </w:rPr>
      </w:pPr>
      <w:r w:rsidRPr="00BB559E">
        <w:rPr>
          <w:rFonts w:cs="Calibri"/>
          <w:lang w:val="en-GB"/>
        </w:rPr>
        <w:t>•</w:t>
      </w:r>
      <w:r w:rsidRPr="00BB559E">
        <w:rPr>
          <w:rFonts w:cs="Calibri"/>
          <w:lang w:val="en-GB"/>
        </w:rPr>
        <w:tab/>
      </w:r>
      <w:hyperlink r:id="rId34" w:history="1">
        <w:r w:rsidRPr="00BB559E">
          <w:rPr>
            <w:rStyle w:val="Hyperlink"/>
            <w:rFonts w:cs="Calibri"/>
            <w:color w:val="008338"/>
            <w:lang w:val="en-GB"/>
          </w:rPr>
          <w:t xml:space="preserve">UK </w:t>
        </w:r>
        <w:r w:rsidR="00BB5D1B" w:rsidRPr="00BB559E">
          <w:rPr>
            <w:rStyle w:val="Hyperlink"/>
            <w:rFonts w:cs="Calibri"/>
            <w:color w:val="008338"/>
            <w:lang w:val="en-GB"/>
          </w:rPr>
          <w:t>Regulations: restriction of hazardous substances (RoHS)</w:t>
        </w:r>
      </w:hyperlink>
      <w:r w:rsidRPr="00BB559E">
        <w:rPr>
          <w:rFonts w:cs="Calibri"/>
          <w:lang w:val="en-GB"/>
        </w:rPr>
        <w:t xml:space="preserve"> (UK </w:t>
      </w:r>
      <w:r w:rsidR="00814256" w:rsidRPr="00BB559E">
        <w:rPr>
          <w:rFonts w:cs="Calibri"/>
          <w:lang w:val="en-GB"/>
        </w:rPr>
        <w:t>R</w:t>
      </w:r>
      <w:r w:rsidR="00BB5D1B" w:rsidRPr="00BB559E">
        <w:rPr>
          <w:rFonts w:cs="Calibri"/>
          <w:lang w:val="en-GB"/>
        </w:rPr>
        <w:t>o</w:t>
      </w:r>
      <w:r w:rsidR="00814256" w:rsidRPr="00BB559E">
        <w:rPr>
          <w:rFonts w:cs="Calibri"/>
          <w:lang w:val="en-GB"/>
        </w:rPr>
        <w:t>HS</w:t>
      </w:r>
      <w:r w:rsidRPr="00BB559E">
        <w:rPr>
          <w:rFonts w:cs="Calibri"/>
          <w:lang w:val="en-GB"/>
        </w:rPr>
        <w:t>).</w:t>
      </w:r>
    </w:p>
    <w:p w14:paraId="1408C716" w14:textId="42B28509" w:rsidR="003C23AF" w:rsidRPr="00BB559E" w:rsidRDefault="003C23AF" w:rsidP="00391ACE">
      <w:pPr>
        <w:spacing w:line="360" w:lineRule="auto"/>
        <w:jc w:val="both"/>
        <w:rPr>
          <w:rFonts w:cs="Calibri"/>
          <w:b/>
          <w:bCs/>
          <w:lang w:val="en-GB"/>
        </w:rPr>
      </w:pPr>
      <w:r w:rsidRPr="00BB559E">
        <w:rPr>
          <w:rFonts w:cs="Calibri"/>
          <w:b/>
          <w:bCs/>
          <w:lang w:val="en-GB"/>
        </w:rPr>
        <w:t>Switzerland</w:t>
      </w:r>
    </w:p>
    <w:p w14:paraId="45B540AD" w14:textId="57D43DDA" w:rsidR="00391ACE" w:rsidRPr="00BB559E" w:rsidRDefault="00391ACE" w:rsidP="007A7AAC">
      <w:pPr>
        <w:spacing w:line="360" w:lineRule="auto"/>
        <w:ind w:left="720" w:hanging="720"/>
        <w:jc w:val="both"/>
        <w:rPr>
          <w:rFonts w:cs="Calibri"/>
          <w:lang w:val="en-GB"/>
        </w:rPr>
      </w:pPr>
      <w:r w:rsidRPr="00BB559E">
        <w:rPr>
          <w:rFonts w:cs="Calibri"/>
          <w:lang w:val="en-GB"/>
        </w:rPr>
        <w:t>•</w:t>
      </w:r>
      <w:r w:rsidRPr="00BB559E">
        <w:rPr>
          <w:rFonts w:cs="Calibri"/>
          <w:lang w:val="en-GB"/>
        </w:rPr>
        <w:tab/>
      </w:r>
      <w:hyperlink r:id="rId35" w:history="1">
        <w:r w:rsidRPr="00BB559E">
          <w:rPr>
            <w:rStyle w:val="Hyperlink"/>
            <w:rFonts w:cs="Calibri"/>
            <w:color w:val="008338"/>
            <w:lang w:val="en-GB"/>
          </w:rPr>
          <w:t xml:space="preserve">Swiss </w:t>
        </w:r>
        <w:r w:rsidR="00EE7359" w:rsidRPr="00BB559E">
          <w:rPr>
            <w:rStyle w:val="Hyperlink"/>
            <w:rFonts w:cs="Calibri"/>
            <w:color w:val="008338"/>
            <w:lang w:val="en-GB"/>
          </w:rPr>
          <w:t>Chemicals Ordinance (ChemO) Annex 3</w:t>
        </w:r>
      </w:hyperlink>
      <w:r w:rsidR="007A7AAC" w:rsidRPr="00BB559E">
        <w:rPr>
          <w:rFonts w:cs="Calibri"/>
          <w:lang w:val="en-GB"/>
        </w:rPr>
        <w:t xml:space="preserve"> </w:t>
      </w:r>
      <w:r w:rsidR="00EE7359" w:rsidRPr="00BB559E">
        <w:rPr>
          <w:rFonts w:cs="Calibri"/>
          <w:lang w:val="en-GB"/>
        </w:rPr>
        <w:t>- the application of EU REACH SVHC list</w:t>
      </w:r>
      <w:r w:rsidR="00CC6231" w:rsidRPr="00BB559E">
        <w:rPr>
          <w:rFonts w:cs="Calibri"/>
          <w:lang w:val="en-GB"/>
        </w:rPr>
        <w:t>;</w:t>
      </w:r>
    </w:p>
    <w:p w14:paraId="53D85F0D" w14:textId="16B540A5" w:rsidR="00440F69" w:rsidRPr="00BB559E" w:rsidRDefault="00440F69" w:rsidP="00440F69">
      <w:pPr>
        <w:spacing w:line="360" w:lineRule="auto"/>
        <w:ind w:left="720" w:hanging="720"/>
        <w:jc w:val="both"/>
        <w:rPr>
          <w:rFonts w:cs="Calibri"/>
          <w:lang w:val="en-GB"/>
        </w:rPr>
      </w:pPr>
      <w:r w:rsidRPr="00BB559E">
        <w:rPr>
          <w:rFonts w:cs="Calibri"/>
          <w:lang w:val="en-GB"/>
        </w:rPr>
        <w:t>•</w:t>
      </w:r>
      <w:r w:rsidRPr="00BB559E">
        <w:rPr>
          <w:rFonts w:cs="Calibri"/>
          <w:lang w:val="en-GB"/>
        </w:rPr>
        <w:tab/>
      </w:r>
      <w:hyperlink r:id="rId36" w:history="1">
        <w:r w:rsidRPr="00BB559E">
          <w:rPr>
            <w:rStyle w:val="Hyperlink"/>
            <w:rFonts w:cs="Calibri"/>
            <w:color w:val="008338"/>
            <w:lang w:val="en-GB"/>
          </w:rPr>
          <w:t>Swiss Regulation (SR 814.81)</w:t>
        </w:r>
      </w:hyperlink>
      <w:r w:rsidRPr="00BB559E">
        <w:rPr>
          <w:rFonts w:cs="Calibri"/>
          <w:lang w:val="en-GB"/>
        </w:rPr>
        <w:t xml:space="preserve"> on the Reduction of Risks relating to the Use of Certain Particularly Dangerous Substances, Preparations and Articles (Chemical Risk Reduction Ordinance, ORRChem).</w:t>
      </w:r>
    </w:p>
    <w:p w14:paraId="092E20B1" w14:textId="77777777" w:rsidR="0025573B" w:rsidRPr="00BB559E" w:rsidRDefault="0025573B" w:rsidP="0067071D">
      <w:pPr>
        <w:spacing w:line="360" w:lineRule="auto"/>
        <w:jc w:val="both"/>
        <w:rPr>
          <w:rFonts w:cs="Calibri"/>
          <w:b/>
          <w:bCs/>
          <w:lang w:val="en-GB"/>
        </w:rPr>
      </w:pPr>
      <w:r w:rsidRPr="00BB559E">
        <w:rPr>
          <w:rFonts w:cs="Calibri"/>
          <w:b/>
          <w:bCs/>
          <w:lang w:val="en-GB"/>
        </w:rPr>
        <w:t>United States of America</w:t>
      </w:r>
    </w:p>
    <w:p w14:paraId="56C17A8E" w14:textId="2AD430C5" w:rsidR="0067071D" w:rsidRPr="00BB559E" w:rsidRDefault="00F44980" w:rsidP="0025573B">
      <w:pPr>
        <w:pStyle w:val="ListParagraph"/>
        <w:numPr>
          <w:ilvl w:val="0"/>
          <w:numId w:val="16"/>
        </w:numPr>
        <w:spacing w:line="360" w:lineRule="auto"/>
        <w:jc w:val="both"/>
        <w:rPr>
          <w:rFonts w:cs="Calibri"/>
          <w:lang w:val="en-GB"/>
        </w:rPr>
      </w:pPr>
      <w:hyperlink r:id="rId37" w:history="1">
        <w:r w:rsidRPr="00BB559E">
          <w:rPr>
            <w:rStyle w:val="Hyperlink"/>
            <w:rFonts w:cs="Calibri"/>
            <w:color w:val="008338"/>
            <w:lang w:val="en-GB"/>
          </w:rPr>
          <w:t xml:space="preserve">US </w:t>
        </w:r>
        <w:r w:rsidR="00391ACE" w:rsidRPr="00BB559E">
          <w:rPr>
            <w:rStyle w:val="Hyperlink"/>
            <w:rFonts w:cs="Calibri"/>
            <w:color w:val="008338"/>
            <w:lang w:val="en-GB"/>
          </w:rPr>
          <w:t>Code Federal Regulations (US 40 CFR)</w:t>
        </w:r>
      </w:hyperlink>
      <w:r w:rsidRPr="00BB559E">
        <w:rPr>
          <w:lang w:val="en-GB"/>
        </w:rPr>
        <w:t xml:space="preserve"> on </w:t>
      </w:r>
      <w:r w:rsidRPr="00BB559E">
        <w:rPr>
          <w:rFonts w:cs="Calibri"/>
          <w:lang w:val="en-GB"/>
        </w:rPr>
        <w:t>Protection of Environment;</w:t>
      </w:r>
    </w:p>
    <w:p w14:paraId="6817F058" w14:textId="76BE5235" w:rsidR="00D81A33" w:rsidRPr="00BB559E" w:rsidRDefault="00D81A33" w:rsidP="0025573B">
      <w:pPr>
        <w:pStyle w:val="ListParagraph"/>
        <w:numPr>
          <w:ilvl w:val="0"/>
          <w:numId w:val="16"/>
        </w:numPr>
        <w:spacing w:line="360" w:lineRule="auto"/>
        <w:jc w:val="both"/>
        <w:rPr>
          <w:rFonts w:cs="Calibri"/>
          <w:lang w:val="en-GB"/>
        </w:rPr>
      </w:pPr>
      <w:r w:rsidRPr="00BB559E">
        <w:rPr>
          <w:rFonts w:cs="Calibri"/>
          <w:lang w:val="en-GB"/>
        </w:rPr>
        <w:t xml:space="preserve">40 CFR </w:t>
      </w:r>
      <w:r w:rsidR="0029242A" w:rsidRPr="00BB559E">
        <w:rPr>
          <w:rFonts w:cs="Calibri"/>
          <w:lang w:val="en-GB"/>
        </w:rPr>
        <w:t>Subchapter C Part 82</w:t>
      </w:r>
      <w:r w:rsidRPr="00BB559E">
        <w:rPr>
          <w:rFonts w:cs="Calibri"/>
          <w:lang w:val="en-GB"/>
        </w:rPr>
        <w:t xml:space="preserve"> </w:t>
      </w:r>
      <w:r w:rsidR="00CC6231" w:rsidRPr="00BB559E">
        <w:rPr>
          <w:rFonts w:cs="Calibri"/>
          <w:lang w:val="en-GB"/>
        </w:rPr>
        <w:t>- Application of ODS</w:t>
      </w:r>
      <w:r w:rsidR="00956277" w:rsidRPr="00BB559E">
        <w:rPr>
          <w:rFonts w:cs="Calibri"/>
          <w:lang w:val="en-GB"/>
        </w:rPr>
        <w:t xml:space="preserve"> regulation</w:t>
      </w:r>
      <w:r w:rsidR="00CC6231" w:rsidRPr="00BB559E">
        <w:rPr>
          <w:rFonts w:cs="Calibri"/>
          <w:lang w:val="en-GB"/>
        </w:rPr>
        <w:t xml:space="preserve"> for the USA;</w:t>
      </w:r>
    </w:p>
    <w:p w14:paraId="748ACD42" w14:textId="3F253B87" w:rsidR="00546D6B" w:rsidRPr="00BB559E" w:rsidRDefault="00546D6B" w:rsidP="00546D6B">
      <w:pPr>
        <w:pStyle w:val="ListParagraph"/>
        <w:numPr>
          <w:ilvl w:val="0"/>
          <w:numId w:val="16"/>
        </w:numPr>
        <w:spacing w:line="360" w:lineRule="auto"/>
        <w:jc w:val="both"/>
        <w:rPr>
          <w:rFonts w:cs="Calibri"/>
          <w:lang w:val="en-GB"/>
        </w:rPr>
      </w:pPr>
      <w:r w:rsidRPr="00BB559E">
        <w:rPr>
          <w:rFonts w:cs="Calibri"/>
          <w:lang w:val="en-GB"/>
        </w:rPr>
        <w:t xml:space="preserve">40 CFR Subchapter C Part 84 - Application of </w:t>
      </w:r>
      <w:r w:rsidR="00956277" w:rsidRPr="00BB559E">
        <w:rPr>
          <w:rFonts w:cs="Calibri"/>
          <w:lang w:val="en-GB"/>
        </w:rPr>
        <w:t>F-gases</w:t>
      </w:r>
      <w:r w:rsidRPr="00BB559E">
        <w:rPr>
          <w:rFonts w:cs="Calibri"/>
          <w:lang w:val="en-GB"/>
        </w:rPr>
        <w:t xml:space="preserve"> </w:t>
      </w:r>
      <w:r w:rsidR="00956277" w:rsidRPr="00BB559E">
        <w:rPr>
          <w:rFonts w:cs="Calibri"/>
          <w:lang w:val="en-GB"/>
        </w:rPr>
        <w:t xml:space="preserve">regulation </w:t>
      </w:r>
      <w:r w:rsidRPr="00BB559E">
        <w:rPr>
          <w:rFonts w:cs="Calibri"/>
          <w:lang w:val="en-GB"/>
        </w:rPr>
        <w:t>for the USA;</w:t>
      </w:r>
    </w:p>
    <w:p w14:paraId="5EAE6677" w14:textId="4D62F32D" w:rsidR="009443D5" w:rsidRPr="00BB559E" w:rsidRDefault="009443D5" w:rsidP="0025573B">
      <w:pPr>
        <w:pStyle w:val="ListParagraph"/>
        <w:numPr>
          <w:ilvl w:val="0"/>
          <w:numId w:val="16"/>
        </w:numPr>
        <w:spacing w:line="360" w:lineRule="auto"/>
        <w:jc w:val="both"/>
        <w:rPr>
          <w:rFonts w:cs="Calibri"/>
          <w:lang w:val="en-GB"/>
        </w:rPr>
      </w:pPr>
      <w:hyperlink r:id="rId38" w:history="1">
        <w:r w:rsidRPr="00BB559E">
          <w:rPr>
            <w:rStyle w:val="Hyperlink"/>
            <w:rFonts w:cs="Calibri"/>
            <w:color w:val="008338"/>
            <w:lang w:val="en-GB"/>
          </w:rPr>
          <w:t>40 CFR Part 705</w:t>
        </w:r>
      </w:hyperlink>
      <w:r w:rsidR="0067071D" w:rsidRPr="00BB559E">
        <w:rPr>
          <w:rFonts w:cs="Calibri"/>
          <w:lang w:val="en-GB"/>
        </w:rPr>
        <w:t xml:space="preserve"> on Toxic Substances Control Act Reporting and Recordkeeping Requirements for Perfluoroalkyl and Polyfluoroalkyl Substances;</w:t>
      </w:r>
    </w:p>
    <w:p w14:paraId="3832AC9C" w14:textId="68CA1886" w:rsidR="00D32143" w:rsidRPr="00BB559E" w:rsidRDefault="00D32143" w:rsidP="00D32143">
      <w:pPr>
        <w:pStyle w:val="ListParagraph"/>
        <w:numPr>
          <w:ilvl w:val="0"/>
          <w:numId w:val="16"/>
        </w:numPr>
        <w:spacing w:line="360" w:lineRule="auto"/>
        <w:jc w:val="both"/>
        <w:rPr>
          <w:rFonts w:cs="Calibri"/>
          <w:lang w:val="en-GB"/>
        </w:rPr>
      </w:pPr>
      <w:hyperlink r:id="rId39" w:history="1">
        <w:r w:rsidRPr="00BB559E">
          <w:rPr>
            <w:rStyle w:val="Hyperlink"/>
            <w:rFonts w:cs="Calibri"/>
            <w:color w:val="008338"/>
            <w:lang w:val="en-GB"/>
          </w:rPr>
          <w:t>40 CFR Part 75</w:t>
        </w:r>
      </w:hyperlink>
      <w:r w:rsidRPr="00BB559E">
        <w:rPr>
          <w:rStyle w:val="Hyperlink"/>
          <w:rFonts w:cs="Calibri"/>
          <w:color w:val="008338"/>
          <w:lang w:val="en-GB"/>
        </w:rPr>
        <w:t>1</w:t>
      </w:r>
      <w:r w:rsidRPr="00BB559E">
        <w:rPr>
          <w:rFonts w:cs="Calibri"/>
          <w:lang w:val="en-GB"/>
        </w:rPr>
        <w:t xml:space="preserve"> on Regulation of certain chemical substances and mixtures </w:t>
      </w:r>
      <w:r w:rsidR="00C80CCF" w:rsidRPr="00BB559E">
        <w:rPr>
          <w:rFonts w:cs="Calibri"/>
          <w:lang w:val="en-GB"/>
        </w:rPr>
        <w:t xml:space="preserve">under section 6 of the </w:t>
      </w:r>
      <w:r w:rsidR="00D709EA" w:rsidRPr="00BB559E">
        <w:rPr>
          <w:rFonts w:cs="Calibri"/>
          <w:lang w:val="en-GB"/>
        </w:rPr>
        <w:t>Toxic Substances Control Act</w:t>
      </w:r>
      <w:r w:rsidRPr="00BB559E">
        <w:rPr>
          <w:rFonts w:cs="Calibri"/>
          <w:lang w:val="en-GB"/>
        </w:rPr>
        <w:t>;</w:t>
      </w:r>
    </w:p>
    <w:p w14:paraId="1D2F1417" w14:textId="3AF70EFC" w:rsidR="00305E87" w:rsidRPr="00BB559E" w:rsidRDefault="00305E87" w:rsidP="00305E87">
      <w:pPr>
        <w:pStyle w:val="ListParagraph"/>
        <w:numPr>
          <w:ilvl w:val="0"/>
          <w:numId w:val="16"/>
        </w:numPr>
        <w:spacing w:line="360" w:lineRule="auto"/>
        <w:jc w:val="both"/>
        <w:rPr>
          <w:rFonts w:cs="Calibri"/>
          <w:lang w:val="en-GB"/>
        </w:rPr>
      </w:pPr>
      <w:hyperlink r:id="rId40" w:history="1">
        <w:r w:rsidRPr="00BB559E">
          <w:rPr>
            <w:rStyle w:val="Hyperlink"/>
            <w:rFonts w:cs="Calibri"/>
            <w:color w:val="008338"/>
            <w:lang w:val="en-GB"/>
          </w:rPr>
          <w:t>40 CFR Part 7</w:t>
        </w:r>
      </w:hyperlink>
      <w:r w:rsidRPr="00BB559E">
        <w:rPr>
          <w:rStyle w:val="Hyperlink"/>
          <w:rFonts w:cs="Calibri"/>
          <w:color w:val="008338"/>
          <w:lang w:val="en-GB"/>
        </w:rPr>
        <w:t>61</w:t>
      </w:r>
      <w:r w:rsidRPr="00BB559E">
        <w:rPr>
          <w:rFonts w:cs="Calibri"/>
          <w:lang w:val="en-GB"/>
        </w:rPr>
        <w:t xml:space="preserve"> on Polychlorinated biphenyls (PCBs) manufac</w:t>
      </w:r>
      <w:r w:rsidR="002F3C41" w:rsidRPr="00BB559E">
        <w:rPr>
          <w:rFonts w:cs="Calibri"/>
          <w:lang w:val="en-GB"/>
        </w:rPr>
        <w:t>turing, processing, distribution in commerce, and use prohibitions</w:t>
      </w:r>
      <w:r w:rsidRPr="00BB559E">
        <w:rPr>
          <w:rFonts w:cs="Calibri"/>
          <w:lang w:val="en-GB"/>
        </w:rPr>
        <w:t>;</w:t>
      </w:r>
    </w:p>
    <w:p w14:paraId="0E6472B1" w14:textId="599A7C34" w:rsidR="00D32143" w:rsidRPr="00BB559E" w:rsidRDefault="00B65EFA" w:rsidP="00B65EFA">
      <w:pPr>
        <w:pStyle w:val="ListParagraph"/>
        <w:numPr>
          <w:ilvl w:val="0"/>
          <w:numId w:val="16"/>
        </w:numPr>
        <w:spacing w:line="360" w:lineRule="auto"/>
        <w:jc w:val="both"/>
        <w:rPr>
          <w:rFonts w:cs="Calibri"/>
          <w:lang w:val="en-GB"/>
        </w:rPr>
      </w:pPr>
      <w:hyperlink r:id="rId41" w:history="1">
        <w:r w:rsidRPr="00BB559E">
          <w:rPr>
            <w:rStyle w:val="Hyperlink"/>
            <w:rFonts w:cs="Calibri"/>
            <w:color w:val="008338"/>
            <w:lang w:val="en-GB"/>
          </w:rPr>
          <w:t>40 CFR Part 7</w:t>
        </w:r>
      </w:hyperlink>
      <w:r w:rsidRPr="00BB559E">
        <w:rPr>
          <w:rStyle w:val="Hyperlink"/>
          <w:rFonts w:cs="Calibri"/>
          <w:color w:val="008338"/>
          <w:lang w:val="en-GB"/>
        </w:rPr>
        <w:t>63</w:t>
      </w:r>
      <w:r w:rsidRPr="00BB559E">
        <w:rPr>
          <w:rFonts w:cs="Calibri"/>
          <w:lang w:val="en-GB"/>
        </w:rPr>
        <w:t xml:space="preserve"> on </w:t>
      </w:r>
      <w:r w:rsidR="00D709EA" w:rsidRPr="00BB559E">
        <w:rPr>
          <w:rFonts w:cs="Calibri"/>
          <w:lang w:val="en-GB"/>
        </w:rPr>
        <w:t>Asbestos</w:t>
      </w:r>
      <w:r w:rsidRPr="00BB559E">
        <w:rPr>
          <w:rFonts w:cs="Calibri"/>
          <w:lang w:val="en-GB"/>
        </w:rPr>
        <w:t>;</w:t>
      </w:r>
    </w:p>
    <w:p w14:paraId="6263FC8C" w14:textId="51E9A8C6" w:rsidR="003C23AF" w:rsidRPr="00BB559E" w:rsidRDefault="001922A9" w:rsidP="0025573B">
      <w:pPr>
        <w:pStyle w:val="ListParagraph"/>
        <w:numPr>
          <w:ilvl w:val="0"/>
          <w:numId w:val="16"/>
        </w:numPr>
        <w:spacing w:line="360" w:lineRule="auto"/>
        <w:jc w:val="both"/>
        <w:rPr>
          <w:rFonts w:cs="Calibri"/>
          <w:lang w:val="en-GB"/>
        </w:rPr>
      </w:pPr>
      <w:hyperlink r:id="rId42" w:history="1">
        <w:r w:rsidRPr="00BB559E">
          <w:rPr>
            <w:rStyle w:val="Hyperlink"/>
            <w:rFonts w:cs="Calibri"/>
            <w:color w:val="008338"/>
            <w:lang w:val="en-GB"/>
          </w:rPr>
          <w:t>40 CFR Ch. (7-1-10 Edition) #372,65(a)</w:t>
        </w:r>
      </w:hyperlink>
      <w:r w:rsidR="0067071D" w:rsidRPr="00BB559E">
        <w:rPr>
          <w:rFonts w:cs="Calibri"/>
          <w:lang w:val="en-GB"/>
        </w:rPr>
        <w:t xml:space="preserve"> on</w:t>
      </w:r>
      <w:r w:rsidR="0067071D" w:rsidRPr="00BB559E">
        <w:rPr>
          <w:lang w:val="en-GB"/>
        </w:rPr>
        <w:t xml:space="preserve"> </w:t>
      </w:r>
      <w:r w:rsidR="0067071D" w:rsidRPr="00BB559E">
        <w:rPr>
          <w:rFonts w:cs="Calibri"/>
          <w:lang w:val="en-GB"/>
        </w:rPr>
        <w:t>Chemicals and chemical categories to which this part applies.</w:t>
      </w:r>
    </w:p>
    <w:p w14:paraId="159145A5" w14:textId="77777777" w:rsidR="00EC4327" w:rsidRPr="00BB559E" w:rsidRDefault="00EC4327" w:rsidP="000C72A6">
      <w:pPr>
        <w:spacing w:line="360" w:lineRule="auto"/>
        <w:jc w:val="both"/>
        <w:rPr>
          <w:lang w:val="en-GB"/>
        </w:rPr>
      </w:pPr>
    </w:p>
    <w:p w14:paraId="516FB941" w14:textId="73E619DA" w:rsidR="000B64D0" w:rsidRPr="00BB559E" w:rsidRDefault="000B64D0" w:rsidP="000C72A6">
      <w:pPr>
        <w:pStyle w:val="Heading2"/>
        <w:spacing w:before="0" w:after="0"/>
        <w:rPr>
          <w:rFonts w:ascii="Aptos" w:hAnsi="Aptos" w:cs="Calibri"/>
          <w:color w:val="008338"/>
          <w:lang w:val="en-GB"/>
        </w:rPr>
      </w:pPr>
      <w:r w:rsidRPr="00BB559E">
        <w:rPr>
          <w:rFonts w:ascii="Aptos" w:hAnsi="Aptos" w:cs="Calibri"/>
          <w:color w:val="008338"/>
          <w:lang w:val="en-GB"/>
        </w:rPr>
        <w:t>RISL structure</w:t>
      </w:r>
    </w:p>
    <w:p w14:paraId="5DB88D96" w14:textId="77777777" w:rsidR="00351724" w:rsidRPr="00BB559E" w:rsidRDefault="00351724" w:rsidP="000C72A6">
      <w:pPr>
        <w:spacing w:line="360" w:lineRule="auto"/>
        <w:jc w:val="both"/>
        <w:rPr>
          <w:rFonts w:eastAsia="Arial" w:cs="Calibri"/>
          <w:lang w:val="en-GB"/>
          <w14:ligatures w14:val="none"/>
        </w:rPr>
      </w:pPr>
    </w:p>
    <w:p w14:paraId="4622DEE2" w14:textId="0111E1E4" w:rsidR="000B64D0" w:rsidRPr="00BB559E" w:rsidRDefault="000B64D0" w:rsidP="000C72A6">
      <w:pPr>
        <w:spacing w:line="360" w:lineRule="auto"/>
        <w:jc w:val="both"/>
        <w:rPr>
          <w:rFonts w:eastAsia="Arial" w:cs="Calibri"/>
          <w:lang w:val="en-GB"/>
          <w14:ligatures w14:val="none"/>
        </w:rPr>
      </w:pPr>
      <w:r w:rsidRPr="00BB559E">
        <w:rPr>
          <w:rFonts w:eastAsia="Arial" w:cs="Calibri"/>
          <w:lang w:val="en-GB"/>
          <w14:ligatures w14:val="none"/>
        </w:rPr>
        <w:t xml:space="preserve">The </w:t>
      </w:r>
      <w:hyperlink r:id="rId43" w:history="1">
        <w:r w:rsidRPr="00BB559E">
          <w:rPr>
            <w:rStyle w:val="Hyperlink"/>
            <w:rFonts w:eastAsia="Arial" w:cs="Calibri"/>
            <w:b/>
            <w:bCs/>
            <w:color w:val="008338"/>
            <w:lang w:val="en-GB"/>
            <w14:ligatures w14:val="none"/>
          </w:rPr>
          <w:t>Rail</w:t>
        </w:r>
        <w:r w:rsidR="00EF6B72">
          <w:rPr>
            <w:rStyle w:val="Hyperlink"/>
            <w:rFonts w:eastAsia="Arial" w:cs="Calibri"/>
            <w:b/>
            <w:bCs/>
            <w:color w:val="008338"/>
            <w:lang w:val="en-GB"/>
            <w14:ligatures w14:val="none"/>
          </w:rPr>
          <w:t xml:space="preserve"> </w:t>
        </w:r>
        <w:r w:rsidRPr="00BB559E">
          <w:rPr>
            <w:rStyle w:val="Hyperlink"/>
            <w:rFonts w:eastAsia="Arial" w:cs="Calibri"/>
            <w:b/>
            <w:bCs/>
            <w:color w:val="008338"/>
            <w:lang w:val="en-GB"/>
            <w14:ligatures w14:val="none"/>
          </w:rPr>
          <w:t>Industry Substance List (RISL)</w:t>
        </w:r>
      </w:hyperlink>
      <w:r w:rsidRPr="00BB559E">
        <w:rPr>
          <w:rFonts w:eastAsia="Arial" w:cs="Calibri"/>
          <w:color w:val="008338"/>
          <w:lang w:val="en-GB"/>
          <w14:ligatures w14:val="none"/>
        </w:rPr>
        <w:t xml:space="preserve"> </w:t>
      </w:r>
      <w:r w:rsidR="00A248C8">
        <w:rPr>
          <w:rFonts w:eastAsia="Arial" w:cs="Calibri"/>
          <w:lang w:val="en-GB"/>
          <w14:ligatures w14:val="none"/>
        </w:rPr>
        <w:t>includes</w:t>
      </w:r>
      <w:r w:rsidRPr="00BB559E">
        <w:rPr>
          <w:rFonts w:eastAsia="Arial" w:cs="Calibri"/>
          <w:lang w:val="en-GB"/>
          <w14:ligatures w14:val="none"/>
        </w:rPr>
        <w:t xml:space="preserve"> information on:</w:t>
      </w:r>
    </w:p>
    <w:p w14:paraId="3E94D610" w14:textId="77777777" w:rsidR="00AC421B" w:rsidRDefault="00695D17" w:rsidP="0085328D">
      <w:pPr>
        <w:pStyle w:val="ListParagraph"/>
        <w:numPr>
          <w:ilvl w:val="0"/>
          <w:numId w:val="22"/>
        </w:numPr>
        <w:spacing w:line="360" w:lineRule="auto"/>
        <w:jc w:val="both"/>
        <w:rPr>
          <w:rFonts w:eastAsia="Arial" w:cs="Calibri"/>
          <w:lang w:val="en-GB"/>
          <w14:ligatures w14:val="none"/>
        </w:rPr>
      </w:pPr>
      <w:r w:rsidRPr="00A248C8">
        <w:rPr>
          <w:rFonts w:eastAsia="Arial" w:cs="Calibri"/>
          <w:b/>
          <w:bCs/>
          <w:lang w:val="en-GB"/>
          <w14:ligatures w14:val="none"/>
        </w:rPr>
        <w:t>Substance name</w:t>
      </w:r>
      <w:r w:rsidRPr="00AC421B">
        <w:rPr>
          <w:rFonts w:eastAsia="Arial" w:cs="Calibri"/>
          <w:lang w:val="en-GB"/>
          <w14:ligatures w14:val="none"/>
        </w:rPr>
        <w:t xml:space="preserve"> and identification number (</w:t>
      </w:r>
      <w:r w:rsidRPr="00A248C8">
        <w:rPr>
          <w:rFonts w:eastAsia="Arial" w:cs="Calibri"/>
          <w:b/>
          <w:bCs/>
          <w:lang w:val="en-GB"/>
          <w14:ligatures w14:val="none"/>
        </w:rPr>
        <w:t>EINECS and CAS registry numbers</w:t>
      </w:r>
      <w:r w:rsidRPr="00AC421B">
        <w:rPr>
          <w:rFonts w:eastAsia="Arial" w:cs="Calibri"/>
          <w:lang w:val="en-GB"/>
          <w14:ligatures w14:val="none"/>
        </w:rPr>
        <w:t>);</w:t>
      </w:r>
    </w:p>
    <w:p w14:paraId="138DACDE" w14:textId="77777777" w:rsidR="00AC421B" w:rsidRDefault="00695D17" w:rsidP="008768D5">
      <w:pPr>
        <w:pStyle w:val="ListParagraph"/>
        <w:numPr>
          <w:ilvl w:val="0"/>
          <w:numId w:val="22"/>
        </w:numPr>
        <w:spacing w:line="360" w:lineRule="auto"/>
        <w:jc w:val="both"/>
        <w:rPr>
          <w:rFonts w:eastAsia="Arial" w:cs="Calibri"/>
          <w:lang w:val="en-GB"/>
          <w14:ligatures w14:val="none"/>
        </w:rPr>
      </w:pPr>
      <w:r w:rsidRPr="00A248C8">
        <w:rPr>
          <w:rFonts w:eastAsia="Arial" w:cs="Calibri"/>
          <w:b/>
          <w:bCs/>
          <w:lang w:val="en-GB"/>
          <w14:ligatures w14:val="none"/>
        </w:rPr>
        <w:t>RISL Category</w:t>
      </w:r>
      <w:r w:rsidRPr="00AC421B">
        <w:rPr>
          <w:rFonts w:eastAsia="Arial" w:cs="Calibri"/>
          <w:lang w:val="en-GB"/>
          <w14:ligatures w14:val="none"/>
        </w:rPr>
        <w:t>, which aims at specifying restrictions on the use and declaration of presence rules;</w:t>
      </w:r>
    </w:p>
    <w:p w14:paraId="1D8F4245" w14:textId="77777777" w:rsidR="00AC421B" w:rsidRDefault="00695D17" w:rsidP="00E26DFD">
      <w:pPr>
        <w:pStyle w:val="ListParagraph"/>
        <w:numPr>
          <w:ilvl w:val="0"/>
          <w:numId w:val="22"/>
        </w:numPr>
        <w:spacing w:line="360" w:lineRule="auto"/>
        <w:jc w:val="both"/>
        <w:rPr>
          <w:rFonts w:eastAsia="Arial" w:cs="Calibri"/>
          <w:lang w:val="en-GB"/>
          <w14:ligatures w14:val="none"/>
        </w:rPr>
      </w:pPr>
      <w:r w:rsidRPr="00A248C8">
        <w:rPr>
          <w:rFonts w:eastAsia="Arial" w:cs="Calibri"/>
          <w:b/>
          <w:bCs/>
          <w:lang w:val="en-GB"/>
          <w14:ligatures w14:val="none"/>
        </w:rPr>
        <w:t>Controlled applications</w:t>
      </w:r>
      <w:r w:rsidRPr="00AC421B">
        <w:rPr>
          <w:rFonts w:eastAsia="Arial" w:cs="Calibri"/>
          <w:lang w:val="en-GB"/>
          <w14:ligatures w14:val="none"/>
        </w:rPr>
        <w:t>, which aim at specifying areas of restrictions;</w:t>
      </w:r>
    </w:p>
    <w:p w14:paraId="6502CEAE" w14:textId="77777777" w:rsidR="00AC421B" w:rsidRDefault="00695D17" w:rsidP="00795AAC">
      <w:pPr>
        <w:pStyle w:val="ListParagraph"/>
        <w:numPr>
          <w:ilvl w:val="0"/>
          <w:numId w:val="22"/>
        </w:numPr>
        <w:spacing w:line="360" w:lineRule="auto"/>
        <w:jc w:val="both"/>
        <w:rPr>
          <w:rFonts w:eastAsia="Arial" w:cs="Calibri"/>
          <w:lang w:val="en-GB"/>
          <w14:ligatures w14:val="none"/>
        </w:rPr>
      </w:pPr>
      <w:r w:rsidRPr="00FA31FB">
        <w:rPr>
          <w:rFonts w:eastAsia="Arial" w:cs="Calibri"/>
          <w:b/>
          <w:bCs/>
          <w:lang w:val="en-GB"/>
          <w14:ligatures w14:val="none"/>
        </w:rPr>
        <w:t>Legislation references</w:t>
      </w:r>
      <w:r w:rsidRPr="00AC421B">
        <w:rPr>
          <w:rFonts w:eastAsia="Arial" w:cs="Calibri"/>
          <w:lang w:val="en-GB"/>
          <w14:ligatures w14:val="none"/>
        </w:rPr>
        <w:t>, which aim to deliver reasons for restrictions;</w:t>
      </w:r>
    </w:p>
    <w:p w14:paraId="1C8571FE" w14:textId="7B938283" w:rsidR="00917628" w:rsidRPr="00AC421B" w:rsidRDefault="00695D17" w:rsidP="00795AAC">
      <w:pPr>
        <w:pStyle w:val="ListParagraph"/>
        <w:numPr>
          <w:ilvl w:val="0"/>
          <w:numId w:val="22"/>
        </w:numPr>
        <w:spacing w:line="360" w:lineRule="auto"/>
        <w:jc w:val="both"/>
        <w:rPr>
          <w:rFonts w:eastAsia="Arial" w:cs="Calibri"/>
          <w:lang w:val="en-GB"/>
          <w14:ligatures w14:val="none"/>
        </w:rPr>
      </w:pPr>
      <w:r w:rsidRPr="00FA31FB">
        <w:rPr>
          <w:rFonts w:eastAsia="Arial" w:cs="Calibri"/>
          <w:b/>
          <w:bCs/>
          <w:lang w:val="en-GB"/>
          <w14:ligatures w14:val="none"/>
        </w:rPr>
        <w:t>Modification date</w:t>
      </w:r>
      <w:r w:rsidRPr="00AC421B">
        <w:rPr>
          <w:rFonts w:eastAsia="Arial" w:cs="Calibri"/>
          <w:lang w:val="en-GB"/>
          <w14:ligatures w14:val="none"/>
        </w:rPr>
        <w:t>.</w:t>
      </w:r>
    </w:p>
    <w:p w14:paraId="5D7306CA" w14:textId="77777777" w:rsidR="00917628" w:rsidRPr="00BB559E" w:rsidRDefault="00917628" w:rsidP="00695D17">
      <w:pPr>
        <w:spacing w:line="360" w:lineRule="auto"/>
        <w:jc w:val="both"/>
        <w:rPr>
          <w:rFonts w:eastAsia="Arial" w:cs="Calibri"/>
          <w:lang w:val="en-GB"/>
          <w14:ligatures w14:val="none"/>
        </w:rPr>
      </w:pPr>
    </w:p>
    <w:p w14:paraId="50A3972B" w14:textId="58862DED" w:rsidR="007D796F" w:rsidRPr="00BB559E" w:rsidRDefault="007D796F" w:rsidP="000C72A6">
      <w:pPr>
        <w:pStyle w:val="Heading2"/>
        <w:spacing w:before="0" w:after="0"/>
        <w:rPr>
          <w:rFonts w:ascii="Aptos" w:hAnsi="Aptos" w:cs="Calibri"/>
          <w:color w:val="008338"/>
          <w:lang w:val="en-GB"/>
        </w:rPr>
      </w:pPr>
      <w:r w:rsidRPr="00BB559E">
        <w:rPr>
          <w:rFonts w:ascii="Aptos" w:hAnsi="Aptos" w:cs="Calibri"/>
          <w:color w:val="008338"/>
          <w:lang w:val="en-GB"/>
        </w:rPr>
        <w:t>RISL definitions</w:t>
      </w:r>
    </w:p>
    <w:p w14:paraId="7B69439E" w14:textId="77777777" w:rsidR="00351724" w:rsidRPr="00BB559E" w:rsidRDefault="00351724" w:rsidP="000C72A6">
      <w:pPr>
        <w:spacing w:line="360" w:lineRule="auto"/>
        <w:jc w:val="both"/>
        <w:rPr>
          <w:rFonts w:eastAsia="Arial" w:cs="Calibri"/>
          <w:highlight w:val="yellow"/>
          <w:lang w:val="en-GB"/>
          <w14:ligatures w14:val="none"/>
        </w:rPr>
      </w:pPr>
    </w:p>
    <w:p w14:paraId="1E939047" w14:textId="09D0AC15" w:rsidR="0015246A" w:rsidRPr="00BB559E" w:rsidRDefault="0015246A" w:rsidP="000C72A6">
      <w:pPr>
        <w:spacing w:line="360" w:lineRule="auto"/>
        <w:jc w:val="both"/>
        <w:rPr>
          <w:rFonts w:eastAsia="Arial" w:cs="Calibri"/>
          <w:b/>
          <w:bCs/>
          <w:lang w:val="en-GB"/>
          <w14:ligatures w14:val="none"/>
        </w:rPr>
      </w:pPr>
      <w:r w:rsidRPr="00BB559E">
        <w:rPr>
          <w:rFonts w:eastAsia="Arial" w:cs="Calibri"/>
          <w:b/>
          <w:bCs/>
          <w:lang w:val="en-GB"/>
          <w14:ligatures w14:val="none"/>
        </w:rPr>
        <w:t>Article</w:t>
      </w:r>
      <w:r w:rsidR="00783247" w:rsidRPr="00BB559E">
        <w:rPr>
          <w:rFonts w:eastAsia="Arial" w:cs="Calibri"/>
          <w:b/>
          <w:bCs/>
          <w:lang w:val="en-GB"/>
          <w14:ligatures w14:val="none"/>
        </w:rPr>
        <w:t>:</w:t>
      </w:r>
      <w:r w:rsidR="00F52191" w:rsidRPr="00BB559E">
        <w:rPr>
          <w:rFonts w:eastAsia="Arial" w:cs="Calibri"/>
          <w:b/>
          <w:bCs/>
          <w:lang w:val="en-GB"/>
          <w14:ligatures w14:val="none"/>
        </w:rPr>
        <w:t xml:space="preserve"> </w:t>
      </w:r>
      <w:r w:rsidR="00F52191" w:rsidRPr="00BB559E">
        <w:rPr>
          <w:rFonts w:eastAsia="Arial" w:cs="Calibri"/>
          <w:lang w:val="en-GB"/>
          <w14:ligatures w14:val="none"/>
        </w:rPr>
        <w:t>“</w:t>
      </w:r>
      <w:r w:rsidRPr="00BB559E">
        <w:rPr>
          <w:rFonts w:eastAsia="Arial" w:cs="Calibri"/>
          <w:i/>
          <w:iCs/>
          <w:lang w:val="en-GB"/>
          <w14:ligatures w14:val="none"/>
        </w:rPr>
        <w:t>means an object which during production is given a special shape, surface or design which determines its function to a greater degree than does its chemical composition</w:t>
      </w:r>
      <w:r w:rsidR="00F52191" w:rsidRPr="00BB559E">
        <w:rPr>
          <w:rFonts w:eastAsia="Arial" w:cs="Calibri"/>
          <w:lang w:val="en-GB"/>
          <w14:ligatures w14:val="none"/>
        </w:rPr>
        <w:t>”</w:t>
      </w:r>
      <w:r w:rsidR="00F52191" w:rsidRPr="00BB559E">
        <w:rPr>
          <w:rStyle w:val="FootnoteReference"/>
          <w:rFonts w:eastAsia="Arial" w:cs="Calibri"/>
          <w:lang w:val="en-GB"/>
          <w14:ligatures w14:val="none"/>
        </w:rPr>
        <w:footnoteReference w:id="2"/>
      </w:r>
      <w:r w:rsidRPr="00BB559E">
        <w:rPr>
          <w:rFonts w:eastAsia="Arial" w:cs="Calibri"/>
          <w:lang w:val="en-GB"/>
          <w14:ligatures w14:val="none"/>
        </w:rPr>
        <w:t xml:space="preserve">. </w:t>
      </w:r>
      <w:r w:rsidR="00F52191" w:rsidRPr="00BB559E">
        <w:rPr>
          <w:rFonts w:eastAsia="Arial" w:cs="Calibri"/>
          <w:lang w:val="en-GB"/>
          <w14:ligatures w14:val="none"/>
        </w:rPr>
        <w:t xml:space="preserve">Following the judgement of the Court of Justice of the European Union, there is no need to </w:t>
      </w:r>
      <w:r w:rsidR="00BD142A" w:rsidRPr="00BB559E">
        <w:rPr>
          <w:rFonts w:eastAsia="Arial" w:cs="Calibri"/>
          <w:lang w:val="en-GB"/>
          <w14:ligatures w14:val="none"/>
        </w:rPr>
        <w:t>distinguish</w:t>
      </w:r>
      <w:r w:rsidR="00F52191" w:rsidRPr="00BB559E">
        <w:rPr>
          <w:rFonts w:eastAsia="Arial" w:cs="Calibri"/>
          <w:lang w:val="en-GB"/>
          <w14:ligatures w14:val="none"/>
        </w:rPr>
        <w:t xml:space="preserve"> </w:t>
      </w:r>
      <w:r w:rsidR="00BD142A" w:rsidRPr="00BB559E">
        <w:rPr>
          <w:rFonts w:eastAsia="Arial" w:cs="Calibri"/>
          <w:lang w:val="en-GB"/>
          <w14:ligatures w14:val="none"/>
        </w:rPr>
        <w:t>between articles incorporated as a component of a complex product and articles presented</w:t>
      </w:r>
      <w:r w:rsidR="00F52191" w:rsidRPr="00BB559E">
        <w:rPr>
          <w:rFonts w:eastAsia="Arial" w:cs="Calibri"/>
          <w:lang w:val="en-GB"/>
          <w14:ligatures w14:val="none"/>
        </w:rPr>
        <w:t xml:space="preserve"> in an isolated manner. Therefore, a sub-article should follow </w:t>
      </w:r>
      <w:r w:rsidR="00AD1C5A" w:rsidRPr="00BB559E">
        <w:rPr>
          <w:rFonts w:eastAsia="Arial" w:cs="Calibri"/>
          <w:lang w:val="en-GB"/>
          <w14:ligatures w14:val="none"/>
        </w:rPr>
        <w:t>the</w:t>
      </w:r>
      <w:r w:rsidRPr="00BB559E">
        <w:rPr>
          <w:rFonts w:eastAsia="Arial" w:cs="Calibri"/>
          <w:lang w:val="en-GB"/>
          <w14:ligatures w14:val="none"/>
        </w:rPr>
        <w:t xml:space="preserve"> “</w:t>
      </w:r>
      <w:r w:rsidRPr="00BB559E">
        <w:rPr>
          <w:rFonts w:eastAsia="Arial" w:cs="Calibri"/>
          <w:i/>
          <w:iCs/>
          <w:lang w:val="en-GB"/>
          <w14:ligatures w14:val="none"/>
        </w:rPr>
        <w:t>once an article, always an article</w:t>
      </w:r>
      <w:r w:rsidRPr="00BB559E">
        <w:rPr>
          <w:rFonts w:eastAsia="Arial" w:cs="Calibri"/>
          <w:lang w:val="en-GB"/>
          <w14:ligatures w14:val="none"/>
        </w:rPr>
        <w:t>” principle.</w:t>
      </w:r>
      <w:r w:rsidR="00F52191" w:rsidRPr="00BB559E">
        <w:rPr>
          <w:rStyle w:val="FootnoteReference"/>
          <w:rFonts w:eastAsia="Arial" w:cs="Calibri"/>
          <w:lang w:val="en-GB"/>
          <w14:ligatures w14:val="none"/>
        </w:rPr>
        <w:footnoteReference w:id="3"/>
      </w:r>
    </w:p>
    <w:p w14:paraId="2DD60EF7" w14:textId="77777777" w:rsidR="00783247" w:rsidRPr="00BB559E" w:rsidRDefault="00783247" w:rsidP="00783247">
      <w:pPr>
        <w:spacing w:line="360" w:lineRule="auto"/>
        <w:jc w:val="both"/>
        <w:rPr>
          <w:rFonts w:eastAsia="Arial" w:cs="Calibri"/>
          <w:lang w:val="en-GB"/>
          <w14:ligatures w14:val="none"/>
        </w:rPr>
      </w:pPr>
    </w:p>
    <w:p w14:paraId="0B96FE65" w14:textId="6B322D07" w:rsidR="00783247" w:rsidRPr="00BB559E" w:rsidRDefault="00783247" w:rsidP="00783247">
      <w:pPr>
        <w:spacing w:line="360" w:lineRule="auto"/>
        <w:jc w:val="both"/>
        <w:rPr>
          <w:rFonts w:eastAsia="Arial" w:cs="Calibri"/>
          <w:lang w:val="en-GB"/>
          <w14:ligatures w14:val="none"/>
        </w:rPr>
      </w:pPr>
      <w:r w:rsidRPr="00BB559E">
        <w:rPr>
          <w:rFonts w:eastAsia="Arial" w:cs="Calibri"/>
          <w:b/>
          <w:bCs/>
          <w:lang w:val="en-GB"/>
          <w14:ligatures w14:val="none"/>
        </w:rPr>
        <w:t>CAS registry number:</w:t>
      </w:r>
      <w:r w:rsidRPr="00BB559E">
        <w:rPr>
          <w:rFonts w:eastAsia="Arial" w:cs="Calibri"/>
          <w:lang w:val="en-GB"/>
          <w14:ligatures w14:val="none"/>
        </w:rPr>
        <w:t xml:space="preserve"> </w:t>
      </w:r>
      <w:r w:rsidR="00F52191" w:rsidRPr="00BB559E">
        <w:rPr>
          <w:rFonts w:eastAsia="Arial" w:cs="Calibri"/>
          <w:lang w:val="en-GB"/>
          <w14:ligatures w14:val="none"/>
        </w:rPr>
        <w:t xml:space="preserve">it </w:t>
      </w:r>
      <w:r w:rsidRPr="00BB559E">
        <w:rPr>
          <w:rFonts w:eastAsia="Arial" w:cs="Calibri"/>
          <w:lang w:val="en-GB"/>
          <w14:ligatures w14:val="none"/>
        </w:rPr>
        <w:t xml:space="preserve">is the identification number of the </w:t>
      </w:r>
      <w:r w:rsidR="005F7115" w:rsidRPr="00BB559E">
        <w:rPr>
          <w:rFonts w:eastAsia="Arial" w:cs="Calibri"/>
          <w:lang w:val="en-GB"/>
          <w14:ligatures w14:val="none"/>
        </w:rPr>
        <w:t>“</w:t>
      </w:r>
      <w:hyperlink r:id="rId44" w:history="1">
        <w:r w:rsidRPr="00BB559E">
          <w:rPr>
            <w:rStyle w:val="Hyperlink"/>
            <w:rFonts w:eastAsia="Arial" w:cs="Calibri"/>
            <w:i/>
            <w:iCs/>
            <w:color w:val="008338"/>
            <w:lang w:val="en-GB"/>
            <w14:ligatures w14:val="none"/>
          </w:rPr>
          <w:t>Chemical Abstracts Service</w:t>
        </w:r>
      </w:hyperlink>
      <w:r w:rsidR="0031260E" w:rsidRPr="00BB559E">
        <w:rPr>
          <w:rFonts w:eastAsia="Arial" w:cs="Calibri"/>
          <w:lang w:val="en-GB"/>
          <w14:ligatures w14:val="none"/>
        </w:rPr>
        <w:t>”</w:t>
      </w:r>
      <w:r w:rsidRPr="00BB559E">
        <w:rPr>
          <w:rFonts w:eastAsia="Arial" w:cs="Calibri"/>
          <w:lang w:val="en-GB"/>
          <w14:ligatures w14:val="none"/>
        </w:rPr>
        <w:t xml:space="preserve">. The number </w:t>
      </w:r>
      <w:r w:rsidR="0031260E" w:rsidRPr="00BB559E">
        <w:rPr>
          <w:rFonts w:eastAsia="Arial" w:cs="Calibri"/>
          <w:lang w:val="en-GB"/>
          <w14:ligatures w14:val="none"/>
        </w:rPr>
        <w:t>is a unique numeric identifier with up to 10 digits, divided into three parts by hyphens</w:t>
      </w:r>
      <w:r w:rsidRPr="00BB559E">
        <w:rPr>
          <w:rFonts w:eastAsia="Arial" w:cs="Calibri"/>
          <w:lang w:val="en-GB"/>
          <w14:ligatures w14:val="none"/>
        </w:rPr>
        <w:t>: “XXXXXX-XX-X”. The right-most digit is a check digit used to verify the validity and uniqueness of the entire number. The number is typed in with the hyphen “-”.</w:t>
      </w:r>
    </w:p>
    <w:p w14:paraId="0373CF48" w14:textId="77777777" w:rsidR="00783247" w:rsidRPr="00BB559E" w:rsidRDefault="00783247" w:rsidP="000C72A6">
      <w:pPr>
        <w:spacing w:line="360" w:lineRule="auto"/>
        <w:jc w:val="both"/>
        <w:rPr>
          <w:rFonts w:eastAsia="Arial" w:cs="Calibri"/>
          <w:lang w:val="en-GB"/>
          <w14:ligatures w14:val="none"/>
        </w:rPr>
      </w:pPr>
    </w:p>
    <w:p w14:paraId="727C085C" w14:textId="5A2906DA" w:rsidR="00783247" w:rsidRPr="00BB559E" w:rsidRDefault="00783247" w:rsidP="00783247">
      <w:pPr>
        <w:spacing w:line="360" w:lineRule="auto"/>
        <w:jc w:val="both"/>
        <w:rPr>
          <w:rFonts w:eastAsia="Arial" w:cs="Calibri"/>
          <w:lang w:val="en-GB"/>
          <w14:ligatures w14:val="none"/>
        </w:rPr>
      </w:pPr>
      <w:r w:rsidRPr="00BB559E">
        <w:rPr>
          <w:rFonts w:eastAsia="Arial" w:cs="Calibri"/>
          <w:b/>
          <w:bCs/>
          <w:lang w:val="en-GB"/>
          <w14:ligatures w14:val="none"/>
        </w:rPr>
        <w:t xml:space="preserve">EINECS </w:t>
      </w:r>
      <w:r w:rsidR="00FA31FB">
        <w:rPr>
          <w:rFonts w:eastAsia="Arial" w:cs="Calibri"/>
          <w:b/>
          <w:bCs/>
          <w:lang w:val="en-GB"/>
          <w14:ligatures w14:val="none"/>
        </w:rPr>
        <w:t xml:space="preserve">registry </w:t>
      </w:r>
      <w:r w:rsidRPr="00BB559E">
        <w:rPr>
          <w:rFonts w:eastAsia="Arial" w:cs="Calibri"/>
          <w:b/>
          <w:bCs/>
          <w:lang w:val="en-GB"/>
          <w14:ligatures w14:val="none"/>
        </w:rPr>
        <w:t>number:</w:t>
      </w:r>
      <w:r w:rsidRPr="00BB559E">
        <w:rPr>
          <w:rFonts w:eastAsia="Arial" w:cs="Calibri"/>
          <w:lang w:val="en-GB"/>
          <w14:ligatures w14:val="none"/>
        </w:rPr>
        <w:t xml:space="preserve"> </w:t>
      </w:r>
      <w:hyperlink r:id="rId45" w:history="1">
        <w:r w:rsidRPr="00BB559E">
          <w:rPr>
            <w:rStyle w:val="Hyperlink"/>
            <w:rFonts w:eastAsia="Arial" w:cs="Calibri"/>
            <w:color w:val="008338"/>
            <w:lang w:val="en-GB"/>
            <w14:ligatures w14:val="none"/>
          </w:rPr>
          <w:t>EC inventory numbers</w:t>
        </w:r>
      </w:hyperlink>
      <w:r w:rsidRPr="00BB559E">
        <w:rPr>
          <w:rFonts w:eastAsia="Arial" w:cs="Calibri"/>
          <w:lang w:val="en-GB"/>
          <w14:ligatures w14:val="none"/>
        </w:rPr>
        <w:t xml:space="preserve"> are registered from EINECS (</w:t>
      </w:r>
      <w:r w:rsidRPr="00BB559E">
        <w:rPr>
          <w:rFonts w:eastAsia="Arial" w:cs="Calibri"/>
          <w:i/>
          <w:iCs/>
          <w:lang w:val="en-GB"/>
          <w14:ligatures w14:val="none"/>
        </w:rPr>
        <w:t>European Inventory of Existing Commercial Chemical Substances</w:t>
      </w:r>
      <w:r w:rsidRPr="00BB559E">
        <w:rPr>
          <w:rFonts w:eastAsia="Arial" w:cs="Calibri"/>
          <w:lang w:val="en-GB"/>
          <w14:ligatures w14:val="none"/>
        </w:rPr>
        <w:t>) and ELINCS (</w:t>
      </w:r>
      <w:r w:rsidRPr="00BB559E">
        <w:rPr>
          <w:rFonts w:eastAsia="Arial" w:cs="Calibri"/>
          <w:i/>
          <w:iCs/>
          <w:lang w:val="en-GB"/>
          <w14:ligatures w14:val="none"/>
        </w:rPr>
        <w:t>European List of Notified Chemical Substances</w:t>
      </w:r>
      <w:r w:rsidRPr="00BB559E">
        <w:rPr>
          <w:rFonts w:eastAsia="Arial" w:cs="Calibri"/>
          <w:lang w:val="en-GB"/>
          <w14:ligatures w14:val="none"/>
        </w:rPr>
        <w:t xml:space="preserve">). Both numbers have the general form “XXX-XXX-X”. </w:t>
      </w:r>
      <w:bookmarkStart w:id="5" w:name="_Hlk158209940"/>
      <w:r w:rsidRPr="00BB559E">
        <w:rPr>
          <w:rFonts w:eastAsia="Arial" w:cs="Calibri"/>
          <w:lang w:val="en-GB"/>
          <w14:ligatures w14:val="none"/>
        </w:rPr>
        <w:t>The number is typed in with the hyphen “-”.</w:t>
      </w:r>
      <w:bookmarkEnd w:id="5"/>
    </w:p>
    <w:p w14:paraId="4693700D" w14:textId="77777777" w:rsidR="00783247" w:rsidRPr="00BB559E" w:rsidRDefault="00783247" w:rsidP="00783247">
      <w:pPr>
        <w:spacing w:line="360" w:lineRule="auto"/>
        <w:jc w:val="both"/>
        <w:rPr>
          <w:rFonts w:eastAsia="Arial" w:cs="Calibri"/>
          <w:lang w:val="en-GB"/>
          <w14:ligatures w14:val="none"/>
        </w:rPr>
      </w:pPr>
    </w:p>
    <w:p w14:paraId="6F557105" w14:textId="776ACC78" w:rsidR="00783247" w:rsidRPr="00BB559E" w:rsidRDefault="00783247" w:rsidP="00783247">
      <w:pPr>
        <w:spacing w:line="360" w:lineRule="auto"/>
        <w:jc w:val="both"/>
        <w:rPr>
          <w:rFonts w:eastAsia="Arial" w:cs="Calibri"/>
          <w:lang w:val="en-GB"/>
          <w14:ligatures w14:val="none"/>
        </w:rPr>
      </w:pPr>
      <w:r w:rsidRPr="00BB559E">
        <w:rPr>
          <w:rFonts w:eastAsia="Arial" w:cs="Calibri"/>
          <w:b/>
          <w:bCs/>
          <w:lang w:val="en-GB"/>
          <w14:ligatures w14:val="none"/>
        </w:rPr>
        <w:t>Legislation references:</w:t>
      </w:r>
      <w:r w:rsidR="00F52191" w:rsidRPr="00BB559E">
        <w:rPr>
          <w:rFonts w:eastAsia="Arial" w:cs="Calibri"/>
          <w:b/>
          <w:bCs/>
          <w:lang w:val="en-GB"/>
          <w14:ligatures w14:val="none"/>
        </w:rPr>
        <w:t xml:space="preserve"> </w:t>
      </w:r>
      <w:r w:rsidR="00F52191" w:rsidRPr="00BB559E">
        <w:rPr>
          <w:rFonts w:eastAsia="Arial" w:cs="Calibri"/>
          <w:lang w:val="en-GB"/>
          <w14:ligatures w14:val="none"/>
        </w:rPr>
        <w:t>the</w:t>
      </w:r>
      <w:r w:rsidRPr="00BB559E">
        <w:rPr>
          <w:rFonts w:eastAsia="Arial" w:cs="Calibri"/>
          <w:lang w:val="en-GB"/>
          <w14:ligatures w14:val="none"/>
        </w:rPr>
        <w:t xml:space="preserve"> format depends on the region of the world and</w:t>
      </w:r>
      <w:r w:rsidR="0031260E" w:rsidRPr="00BB559E">
        <w:rPr>
          <w:rFonts w:eastAsia="Arial" w:cs="Calibri"/>
          <w:lang w:val="en-GB"/>
          <w14:ligatures w14:val="none"/>
        </w:rPr>
        <w:t xml:space="preserve"> the</w:t>
      </w:r>
      <w:r w:rsidRPr="00BB559E">
        <w:rPr>
          <w:rFonts w:eastAsia="Arial" w:cs="Calibri"/>
          <w:lang w:val="en-GB"/>
          <w14:ligatures w14:val="none"/>
        </w:rPr>
        <w:t xml:space="preserve"> countries. For instance, the official EU text can be consulted at the appropriate website: </w:t>
      </w:r>
      <w:hyperlink r:id="rId46" w:history="1">
        <w:r w:rsidRPr="00BB559E">
          <w:rPr>
            <w:rStyle w:val="Hyperlink"/>
            <w:rFonts w:eastAsia="Arial" w:cs="Calibri"/>
            <w:color w:val="008338"/>
            <w:lang w:val="en-GB"/>
            <w14:ligatures w14:val="none"/>
          </w:rPr>
          <w:t>http://eur-lex.europa.eu/</w:t>
        </w:r>
      </w:hyperlink>
      <w:r w:rsidRPr="00BB559E">
        <w:rPr>
          <w:rFonts w:eastAsia="Arial" w:cs="Calibri"/>
          <w:lang w:val="en-GB"/>
          <w14:ligatures w14:val="none"/>
        </w:rPr>
        <w:t>.</w:t>
      </w:r>
    </w:p>
    <w:p w14:paraId="58A47407" w14:textId="77777777" w:rsidR="00783247" w:rsidRPr="00BB559E" w:rsidRDefault="00783247" w:rsidP="00783247">
      <w:pPr>
        <w:spacing w:line="360" w:lineRule="auto"/>
        <w:jc w:val="both"/>
        <w:rPr>
          <w:rFonts w:eastAsia="Arial" w:cs="Calibri"/>
          <w:lang w:val="en-GB"/>
          <w14:ligatures w14:val="none"/>
        </w:rPr>
      </w:pPr>
    </w:p>
    <w:p w14:paraId="7157C9D5" w14:textId="7F579128" w:rsidR="0015246A" w:rsidRPr="00BB559E" w:rsidRDefault="0015246A" w:rsidP="000C72A6">
      <w:pPr>
        <w:spacing w:line="360" w:lineRule="auto"/>
        <w:jc w:val="both"/>
        <w:rPr>
          <w:rFonts w:eastAsia="Arial" w:cs="Calibri"/>
          <w:lang w:val="en-GB"/>
          <w14:ligatures w14:val="none"/>
        </w:rPr>
      </w:pPr>
      <w:r w:rsidRPr="00BB559E">
        <w:rPr>
          <w:rFonts w:eastAsia="Arial" w:cs="Calibri"/>
          <w:b/>
          <w:bCs/>
          <w:lang w:val="en-GB"/>
          <w14:ligatures w14:val="none"/>
        </w:rPr>
        <w:t>Material:</w:t>
      </w:r>
      <w:r w:rsidR="00783247" w:rsidRPr="00BB559E">
        <w:rPr>
          <w:rFonts w:eastAsia="Arial" w:cs="Calibri"/>
          <w:lang w:val="en-GB"/>
          <w14:ligatures w14:val="none"/>
        </w:rPr>
        <w:t xml:space="preserve"> is t</w:t>
      </w:r>
      <w:r w:rsidRPr="00BB559E">
        <w:rPr>
          <w:rFonts w:eastAsia="Arial" w:cs="Calibri"/>
          <w:lang w:val="en-GB"/>
          <w14:ligatures w14:val="none"/>
        </w:rPr>
        <w:t xml:space="preserve">he substance </w:t>
      </w:r>
      <w:r w:rsidR="00783247" w:rsidRPr="00BB559E">
        <w:rPr>
          <w:rFonts w:eastAsia="Arial" w:cs="Calibri"/>
          <w:lang w:val="en-GB"/>
          <w14:ligatures w14:val="none"/>
        </w:rPr>
        <w:t>(</w:t>
      </w:r>
      <w:r w:rsidRPr="00BB559E">
        <w:rPr>
          <w:rFonts w:eastAsia="Arial" w:cs="Calibri"/>
          <w:lang w:val="en-GB"/>
          <w14:ligatures w14:val="none"/>
        </w:rPr>
        <w:t>or substances</w:t>
      </w:r>
      <w:r w:rsidR="00783247" w:rsidRPr="00BB559E">
        <w:rPr>
          <w:rFonts w:eastAsia="Arial" w:cs="Calibri"/>
          <w:lang w:val="en-GB"/>
          <w14:ligatures w14:val="none"/>
        </w:rPr>
        <w:t>)</w:t>
      </w:r>
      <w:r w:rsidRPr="00BB559E">
        <w:rPr>
          <w:rFonts w:eastAsia="Arial" w:cs="Calibri"/>
          <w:lang w:val="en-GB"/>
          <w14:ligatures w14:val="none"/>
        </w:rPr>
        <w:t xml:space="preserve"> of which an object is made or composed. Composite materials </w:t>
      </w:r>
      <w:r w:rsidR="00783247" w:rsidRPr="00BB559E">
        <w:rPr>
          <w:rFonts w:eastAsia="Arial" w:cs="Calibri"/>
          <w:lang w:val="en-GB"/>
          <w14:ligatures w14:val="none"/>
        </w:rPr>
        <w:t xml:space="preserve">are </w:t>
      </w:r>
      <w:r w:rsidRPr="00BB559E">
        <w:rPr>
          <w:rFonts w:eastAsia="Arial" w:cs="Calibri"/>
          <w:lang w:val="en-GB"/>
          <w14:ligatures w14:val="none"/>
        </w:rPr>
        <w:t>made from more constituent materials.</w:t>
      </w:r>
    </w:p>
    <w:p w14:paraId="4FE6D229" w14:textId="77777777" w:rsidR="0015246A" w:rsidRPr="00BB559E" w:rsidRDefault="0015246A" w:rsidP="000C72A6">
      <w:pPr>
        <w:spacing w:line="360" w:lineRule="auto"/>
        <w:jc w:val="both"/>
        <w:rPr>
          <w:rFonts w:eastAsia="Arial" w:cs="Calibri"/>
          <w:lang w:val="en-GB"/>
          <w14:ligatures w14:val="none"/>
        </w:rPr>
      </w:pPr>
    </w:p>
    <w:p w14:paraId="2E5D7615" w14:textId="538989AA" w:rsidR="00783247" w:rsidRPr="00BB559E" w:rsidRDefault="0015246A" w:rsidP="000C72A6">
      <w:pPr>
        <w:spacing w:line="360" w:lineRule="auto"/>
        <w:jc w:val="both"/>
        <w:rPr>
          <w:rFonts w:eastAsia="Arial" w:cs="Calibri"/>
          <w:lang w:val="en-GB"/>
          <w14:ligatures w14:val="none"/>
        </w:rPr>
      </w:pPr>
      <w:r w:rsidRPr="00BB559E">
        <w:rPr>
          <w:rFonts w:eastAsia="Arial" w:cs="Calibri"/>
          <w:b/>
          <w:bCs/>
          <w:lang w:val="en-GB"/>
          <w14:ligatures w14:val="none"/>
        </w:rPr>
        <w:t>Mixture</w:t>
      </w:r>
      <w:r w:rsidRPr="00BB559E">
        <w:rPr>
          <w:rFonts w:eastAsia="Arial" w:cs="Calibri"/>
          <w:lang w:val="en-GB"/>
          <w14:ligatures w14:val="none"/>
        </w:rPr>
        <w:t>:</w:t>
      </w:r>
      <w:r w:rsidR="00F52191" w:rsidRPr="00BB559E">
        <w:rPr>
          <w:rFonts w:eastAsia="Arial" w:cs="Calibri"/>
          <w:lang w:val="en-GB"/>
          <w14:ligatures w14:val="none"/>
        </w:rPr>
        <w:t xml:space="preserve"> it “</w:t>
      </w:r>
      <w:r w:rsidR="00F52191" w:rsidRPr="00BB559E">
        <w:rPr>
          <w:rFonts w:eastAsia="Arial" w:cs="Calibri"/>
          <w:i/>
          <w:iCs/>
          <w:lang w:val="en-GB"/>
          <w14:ligatures w14:val="none"/>
        </w:rPr>
        <w:t>means a mixture or solution composed of two or more substances</w:t>
      </w:r>
      <w:r w:rsidR="00F52191" w:rsidRPr="00BB559E">
        <w:rPr>
          <w:rFonts w:eastAsia="Arial" w:cs="Calibri"/>
          <w:lang w:val="en-GB"/>
          <w14:ligatures w14:val="none"/>
        </w:rPr>
        <w:t>”.</w:t>
      </w:r>
      <w:r w:rsidR="00F52191" w:rsidRPr="00BB559E">
        <w:rPr>
          <w:rStyle w:val="FootnoteReference"/>
          <w:rFonts w:eastAsia="Arial" w:cs="Calibri"/>
          <w:lang w:val="en-GB"/>
          <w14:ligatures w14:val="none"/>
        </w:rPr>
        <w:footnoteReference w:id="4"/>
      </w:r>
    </w:p>
    <w:p w14:paraId="4CEFB081" w14:textId="77777777" w:rsidR="0015246A" w:rsidRPr="00BB559E" w:rsidRDefault="0015246A" w:rsidP="000C72A6">
      <w:pPr>
        <w:spacing w:line="360" w:lineRule="auto"/>
        <w:jc w:val="both"/>
        <w:rPr>
          <w:rFonts w:eastAsia="Arial" w:cs="Calibri"/>
          <w:b/>
          <w:bCs/>
          <w:lang w:val="en-GB"/>
          <w14:ligatures w14:val="none"/>
        </w:rPr>
      </w:pPr>
    </w:p>
    <w:p w14:paraId="03A75344" w14:textId="20D86B1F" w:rsidR="0064417A" w:rsidRPr="00BB559E" w:rsidRDefault="000B64D0" w:rsidP="00783247">
      <w:pPr>
        <w:spacing w:line="360" w:lineRule="auto"/>
        <w:jc w:val="both"/>
        <w:rPr>
          <w:rFonts w:eastAsia="Arial" w:cs="Calibri"/>
          <w:lang w:val="en-GB"/>
          <w14:ligatures w14:val="none"/>
        </w:rPr>
      </w:pPr>
      <w:r w:rsidRPr="00BB559E">
        <w:rPr>
          <w:rFonts w:eastAsia="Arial" w:cs="Calibri"/>
          <w:b/>
          <w:bCs/>
          <w:lang w:val="en-GB"/>
          <w14:ligatures w14:val="none"/>
        </w:rPr>
        <w:t>Substance</w:t>
      </w:r>
      <w:r w:rsidR="007D796F" w:rsidRPr="00BB559E">
        <w:rPr>
          <w:rFonts w:eastAsia="Arial" w:cs="Calibri"/>
          <w:b/>
          <w:bCs/>
          <w:lang w:val="en-GB"/>
          <w14:ligatures w14:val="none"/>
        </w:rPr>
        <w:t>:</w:t>
      </w:r>
      <w:r w:rsidR="00CC263B" w:rsidRPr="00BB559E">
        <w:rPr>
          <w:rFonts w:eastAsia="Arial" w:cs="Calibri"/>
          <w:b/>
          <w:bCs/>
          <w:lang w:val="en-GB"/>
          <w14:ligatures w14:val="none"/>
        </w:rPr>
        <w:t xml:space="preserve"> </w:t>
      </w:r>
      <w:r w:rsidR="00F52191" w:rsidRPr="00BB559E">
        <w:rPr>
          <w:rFonts w:eastAsia="Arial" w:cs="Calibri"/>
          <w:lang w:val="en-GB"/>
          <w14:ligatures w14:val="none"/>
        </w:rPr>
        <w:t>“</w:t>
      </w:r>
      <w:r w:rsidR="00F52191" w:rsidRPr="00BB559E">
        <w:rPr>
          <w:rFonts w:eastAsia="Arial" w:cs="Calibri"/>
          <w:i/>
          <w:iCs/>
          <w:lang w:val="en-GB"/>
          <w14:ligatures w14:val="none"/>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00F52191" w:rsidRPr="00BB559E">
        <w:rPr>
          <w:rFonts w:eastAsia="Arial" w:cs="Calibri"/>
          <w:lang w:val="en-GB"/>
          <w14:ligatures w14:val="none"/>
        </w:rPr>
        <w:t>”</w:t>
      </w:r>
      <w:r w:rsidR="007D796F" w:rsidRPr="00BB559E">
        <w:rPr>
          <w:rFonts w:eastAsia="Arial" w:cs="Calibri"/>
          <w:lang w:val="en-GB"/>
          <w14:ligatures w14:val="none"/>
        </w:rPr>
        <w:t>.</w:t>
      </w:r>
      <w:r w:rsidR="00CC263B" w:rsidRPr="00BB559E">
        <w:rPr>
          <w:rStyle w:val="FootnoteReference"/>
          <w:rFonts w:eastAsia="Arial" w:cs="Calibri"/>
          <w:lang w:val="en-GB"/>
          <w14:ligatures w14:val="none"/>
        </w:rPr>
        <w:footnoteReference w:id="5"/>
      </w:r>
    </w:p>
    <w:p w14:paraId="6AF24E00" w14:textId="77777777" w:rsidR="00917628" w:rsidRPr="00BB559E" w:rsidRDefault="00917628" w:rsidP="00783247">
      <w:pPr>
        <w:spacing w:line="360" w:lineRule="auto"/>
        <w:jc w:val="both"/>
        <w:rPr>
          <w:rFonts w:eastAsia="Arial" w:cs="Calibri"/>
          <w:lang w:val="en-GB"/>
          <w14:ligatures w14:val="none"/>
        </w:rPr>
      </w:pPr>
    </w:p>
    <w:p w14:paraId="684CF589" w14:textId="77777777" w:rsidR="00917628" w:rsidRPr="00BB559E" w:rsidRDefault="00917628" w:rsidP="00783247">
      <w:pPr>
        <w:spacing w:line="360" w:lineRule="auto"/>
        <w:jc w:val="both"/>
        <w:rPr>
          <w:rFonts w:eastAsia="Arial" w:cs="Calibri"/>
          <w:lang w:val="en-GB"/>
          <w14:ligatures w14:val="none"/>
        </w:rPr>
      </w:pPr>
    </w:p>
    <w:p w14:paraId="3DE7A625" w14:textId="1B639AB9" w:rsidR="001C3DEA" w:rsidRPr="00BB559E" w:rsidRDefault="001C3DEA" w:rsidP="000C72A6">
      <w:pPr>
        <w:pStyle w:val="Heading2"/>
        <w:spacing w:before="0" w:after="0"/>
        <w:rPr>
          <w:rFonts w:ascii="Aptos" w:hAnsi="Aptos" w:cs="Calibri"/>
          <w:color w:val="008338"/>
          <w:lang w:val="en-GB"/>
        </w:rPr>
      </w:pPr>
      <w:r w:rsidRPr="00BB559E">
        <w:rPr>
          <w:rFonts w:ascii="Aptos" w:hAnsi="Aptos" w:cs="Calibri"/>
          <w:color w:val="008338"/>
          <w:lang w:val="en-GB"/>
        </w:rPr>
        <w:t xml:space="preserve">RISL </w:t>
      </w:r>
      <w:r w:rsidR="0058250C" w:rsidRPr="00BB559E">
        <w:rPr>
          <w:rFonts w:ascii="Aptos" w:hAnsi="Aptos" w:cs="Calibri"/>
          <w:color w:val="008338"/>
          <w:lang w:val="en-GB"/>
        </w:rPr>
        <w:t>c</w:t>
      </w:r>
      <w:r w:rsidRPr="00BB559E">
        <w:rPr>
          <w:rFonts w:ascii="Aptos" w:hAnsi="Aptos" w:cs="Calibri"/>
          <w:color w:val="008338"/>
          <w:lang w:val="en-GB"/>
        </w:rPr>
        <w:t xml:space="preserve">ategory </w:t>
      </w:r>
      <w:r w:rsidR="0058250C" w:rsidRPr="00BB559E">
        <w:rPr>
          <w:rFonts w:ascii="Aptos" w:hAnsi="Aptos" w:cs="Calibri"/>
          <w:color w:val="008338"/>
          <w:lang w:val="en-GB"/>
        </w:rPr>
        <w:t>f</w:t>
      </w:r>
      <w:r w:rsidRPr="00BB559E">
        <w:rPr>
          <w:rFonts w:ascii="Aptos" w:hAnsi="Aptos" w:cs="Calibri"/>
          <w:color w:val="008338"/>
          <w:lang w:val="en-GB"/>
        </w:rPr>
        <w:t>ield</w:t>
      </w:r>
    </w:p>
    <w:p w14:paraId="75C44750" w14:textId="77777777" w:rsidR="009604FD" w:rsidRPr="00BB559E" w:rsidRDefault="009604FD" w:rsidP="000C72A6">
      <w:pPr>
        <w:spacing w:line="360" w:lineRule="auto"/>
        <w:jc w:val="both"/>
        <w:rPr>
          <w:rFonts w:eastAsia="Arial" w:cs="Calibri"/>
          <w:lang w:val="en-GB"/>
          <w14:ligatures w14:val="none"/>
        </w:rPr>
      </w:pPr>
    </w:p>
    <w:p w14:paraId="7ADDBA9F" w14:textId="1E1DBC0F" w:rsidR="001C3DEA" w:rsidRPr="00BB559E" w:rsidRDefault="001C3DEA" w:rsidP="000C72A6">
      <w:pPr>
        <w:spacing w:line="360" w:lineRule="auto"/>
        <w:jc w:val="both"/>
        <w:rPr>
          <w:rFonts w:eastAsia="Arial" w:cs="Calibri"/>
          <w:b/>
          <w:bCs/>
          <w:lang w:val="en-GB"/>
          <w14:ligatures w14:val="none"/>
        </w:rPr>
      </w:pPr>
      <w:r w:rsidRPr="00BB559E">
        <w:rPr>
          <w:rFonts w:eastAsia="Arial" w:cs="Calibri"/>
          <w:b/>
          <w:bCs/>
          <w:lang w:val="en-GB"/>
          <w14:ligatures w14:val="none"/>
        </w:rPr>
        <w:t>Prohibited (in Area of Restriction):</w:t>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t>Acronym: P(AR)</w:t>
      </w:r>
    </w:p>
    <w:p w14:paraId="274D5628" w14:textId="4AB641E3"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 xml:space="preserve">A substance classified as Prohibited (in </w:t>
      </w:r>
      <w:r w:rsidR="00F02D22" w:rsidRPr="00BB559E">
        <w:rPr>
          <w:rFonts w:eastAsia="Arial" w:cs="Calibri"/>
          <w:lang w:val="en-GB"/>
          <w14:ligatures w14:val="none"/>
        </w:rPr>
        <w:t xml:space="preserve">the </w:t>
      </w:r>
      <w:r w:rsidRPr="00BB559E">
        <w:rPr>
          <w:rFonts w:eastAsia="Arial" w:cs="Calibri"/>
          <w:lang w:val="en-GB"/>
          <w14:ligatures w14:val="none"/>
        </w:rPr>
        <w:t xml:space="preserve">Area of Restriction) shall comply with the restrictions specified in the “Controlled applications” </w:t>
      </w:r>
      <w:r w:rsidR="00513E14" w:rsidRPr="00BB559E">
        <w:rPr>
          <w:rFonts w:eastAsia="Arial" w:cs="Calibri"/>
          <w:lang w:val="en-GB"/>
          <w14:ligatures w14:val="none"/>
        </w:rPr>
        <w:t>f</w:t>
      </w:r>
      <w:r w:rsidRPr="00BB559E">
        <w:rPr>
          <w:rFonts w:eastAsia="Arial" w:cs="Calibri"/>
          <w:lang w:val="en-GB"/>
          <w14:ligatures w14:val="none"/>
        </w:rPr>
        <w:t>ield. The limit value for compliance is 0.1</w:t>
      </w:r>
      <w:r w:rsidR="004B6B62" w:rsidRPr="00BB559E">
        <w:rPr>
          <w:rFonts w:eastAsia="Arial" w:cs="Calibri"/>
          <w:lang w:val="en-GB"/>
          <w14:ligatures w14:val="none"/>
        </w:rPr>
        <w:t xml:space="preserve"> </w:t>
      </w:r>
      <w:r w:rsidRPr="00BB559E">
        <w:rPr>
          <w:rFonts w:eastAsia="Arial" w:cs="Calibri"/>
          <w:lang w:val="en-GB"/>
          <w14:ligatures w14:val="none"/>
        </w:rPr>
        <w:t>% w/w</w:t>
      </w:r>
      <w:r w:rsidR="00DD06E7" w:rsidRPr="00BB559E">
        <w:rPr>
          <w:lang w:val="en-GB"/>
        </w:rPr>
        <w:t xml:space="preserve"> </w:t>
      </w:r>
      <w:r w:rsidR="00DD06E7" w:rsidRPr="00BB559E">
        <w:rPr>
          <w:rFonts w:eastAsia="Arial" w:cs="Calibri"/>
          <w:lang w:val="en-GB"/>
          <w14:ligatures w14:val="none"/>
        </w:rPr>
        <w:t>per article as part of a complex article</w:t>
      </w:r>
      <w:r w:rsidR="0015246A" w:rsidRPr="00BB559E">
        <w:rPr>
          <w:rFonts w:eastAsia="Arial" w:cs="Calibri"/>
          <w:lang w:val="en-GB"/>
          <w14:ligatures w14:val="none"/>
        </w:rPr>
        <w:t xml:space="preserve"> </w:t>
      </w:r>
      <w:r w:rsidRPr="00BB559E">
        <w:rPr>
          <w:rFonts w:eastAsia="Arial" w:cs="Calibri"/>
          <w:lang w:val="en-GB"/>
          <w14:ligatures w14:val="none"/>
        </w:rPr>
        <w:t>in a material or mixture unless otherwise specified in the RISL</w:t>
      </w:r>
      <w:r w:rsidR="0015246A" w:rsidRPr="00BB559E">
        <w:rPr>
          <w:rFonts w:eastAsia="Arial" w:cs="Calibri"/>
          <w:lang w:val="en-GB"/>
          <w14:ligatures w14:val="none"/>
        </w:rPr>
        <w:t xml:space="preserve"> (for example, RoHS or the Battery regulation)</w:t>
      </w:r>
      <w:r w:rsidRPr="00BB559E">
        <w:rPr>
          <w:rFonts w:eastAsia="Arial" w:cs="Calibri"/>
          <w:lang w:val="en-GB"/>
          <w14:ligatures w14:val="none"/>
        </w:rPr>
        <w:t>. In all other applications or below the compliance limit value</w:t>
      </w:r>
      <w:r w:rsidR="00F02D22" w:rsidRPr="00BB559E">
        <w:rPr>
          <w:rFonts w:eastAsia="Arial" w:cs="Calibri"/>
          <w:lang w:val="en-GB"/>
          <w14:ligatures w14:val="none"/>
        </w:rPr>
        <w:t>,</w:t>
      </w:r>
      <w:r w:rsidRPr="00BB559E">
        <w:rPr>
          <w:rFonts w:eastAsia="Arial" w:cs="Calibri"/>
          <w:lang w:val="en-GB"/>
          <w14:ligatures w14:val="none"/>
        </w:rPr>
        <w:t xml:space="preserve"> a substance shall be regarded as a Declarable Substance.</w:t>
      </w:r>
    </w:p>
    <w:p w14:paraId="1BB9EB0A" w14:textId="77777777" w:rsidR="00F02D22" w:rsidRPr="00BB559E" w:rsidRDefault="00F02D22" w:rsidP="000C72A6">
      <w:pPr>
        <w:spacing w:line="360" w:lineRule="auto"/>
        <w:jc w:val="both"/>
        <w:rPr>
          <w:rFonts w:eastAsia="Arial" w:cs="Calibri"/>
          <w:lang w:val="en-GB"/>
          <w14:ligatures w14:val="none"/>
        </w:rPr>
      </w:pPr>
    </w:p>
    <w:p w14:paraId="6639B57C" w14:textId="78AA5F60" w:rsidR="0045174B" w:rsidRPr="00BB559E" w:rsidRDefault="001C3DEA" w:rsidP="000C72A6">
      <w:pPr>
        <w:spacing w:line="360" w:lineRule="auto"/>
        <w:jc w:val="both"/>
        <w:rPr>
          <w:rFonts w:eastAsia="Arial" w:cs="Calibri"/>
          <w:lang w:val="en-GB"/>
          <w14:ligatures w14:val="none"/>
        </w:rPr>
      </w:pPr>
      <w:r w:rsidRPr="00BB559E">
        <w:rPr>
          <w:rFonts w:eastAsia="Arial" w:cs="Calibri"/>
          <w:b/>
          <w:bCs/>
          <w:lang w:val="en-GB"/>
          <w14:ligatures w14:val="none"/>
        </w:rPr>
        <w:t>Declarable:</w:t>
      </w:r>
      <w:r w:rsidR="00513E14" w:rsidRPr="00BB559E">
        <w:rPr>
          <w:rFonts w:eastAsia="Arial" w:cs="Calibri"/>
          <w:b/>
          <w:bCs/>
          <w:lang w:val="en-GB"/>
          <w14:ligatures w14:val="none"/>
        </w:rPr>
        <w:t xml:space="preserve"> </w:t>
      </w:r>
      <w:r w:rsidR="00513E14" w:rsidRPr="00BB559E">
        <w:rPr>
          <w:rFonts w:eastAsia="Arial" w:cs="Calibri"/>
          <w:lang w:val="en-GB"/>
          <w14:ligatures w14:val="none"/>
        </w:rPr>
        <w:t>a</w:t>
      </w:r>
      <w:r w:rsidRPr="00BB559E">
        <w:rPr>
          <w:rFonts w:eastAsia="Arial" w:cs="Calibri"/>
          <w:lang w:val="en-GB"/>
          <w14:ligatures w14:val="none"/>
        </w:rPr>
        <w:t xml:space="preserve"> substance classified as Declarable shall be declared in writing to the customer </w:t>
      </w:r>
      <w:r w:rsidR="00573E35" w:rsidRPr="00BB559E">
        <w:rPr>
          <w:rFonts w:eastAsia="Arial" w:cs="Calibri"/>
          <w:lang w:val="en-GB"/>
          <w14:ligatures w14:val="none"/>
        </w:rPr>
        <w:t>before</w:t>
      </w:r>
      <w:r w:rsidRPr="00BB559E">
        <w:rPr>
          <w:rFonts w:eastAsia="Arial" w:cs="Calibri"/>
          <w:lang w:val="en-GB"/>
          <w14:ligatures w14:val="none"/>
        </w:rPr>
        <w:t xml:space="preserve"> delivery if present in the scope of supply. Declarable substances are separated into two categories:</w:t>
      </w:r>
    </w:p>
    <w:p w14:paraId="0D83F399" w14:textId="77777777" w:rsidR="0045174B" w:rsidRPr="00BB559E" w:rsidRDefault="0045174B" w:rsidP="000C72A6">
      <w:pPr>
        <w:spacing w:line="360" w:lineRule="auto"/>
        <w:jc w:val="both"/>
        <w:rPr>
          <w:rFonts w:eastAsia="Arial" w:cs="Calibri"/>
          <w:lang w:val="en-GB"/>
          <w14:ligatures w14:val="none"/>
        </w:rPr>
      </w:pPr>
    </w:p>
    <w:p w14:paraId="23D59821" w14:textId="022CFCFF" w:rsidR="001C3DEA" w:rsidRPr="00BB559E" w:rsidRDefault="001C3DEA" w:rsidP="000C72A6">
      <w:pPr>
        <w:spacing w:line="360" w:lineRule="auto"/>
        <w:jc w:val="both"/>
        <w:rPr>
          <w:rFonts w:eastAsia="Arial" w:cs="Calibri"/>
          <w:b/>
          <w:bCs/>
          <w:lang w:val="en-GB"/>
          <w14:ligatures w14:val="none"/>
        </w:rPr>
      </w:pPr>
      <w:r w:rsidRPr="00BB559E">
        <w:rPr>
          <w:rFonts w:eastAsia="Arial" w:cs="Calibri"/>
          <w:b/>
          <w:bCs/>
          <w:lang w:val="en-GB"/>
          <w14:ligatures w14:val="none"/>
        </w:rPr>
        <w:t xml:space="preserve">Declarable for Assessment: </w:t>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t>Acronym: D(FA)</w:t>
      </w:r>
    </w:p>
    <w:p w14:paraId="355D0F57" w14:textId="113BF3FA" w:rsidR="00EC2819"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 xml:space="preserve">A substance classified as Declarable for Assessment shall not be present in the scope of supply unless </w:t>
      </w:r>
      <w:r w:rsidR="00F02D22" w:rsidRPr="00BB559E">
        <w:rPr>
          <w:rFonts w:eastAsia="Arial" w:cs="Calibri"/>
          <w:lang w:val="en-GB"/>
          <w14:ligatures w14:val="none"/>
        </w:rPr>
        <w:t>the customer has given approval</w:t>
      </w:r>
      <w:r w:rsidRPr="00BB559E">
        <w:rPr>
          <w:rFonts w:eastAsia="Arial" w:cs="Calibri"/>
          <w:lang w:val="en-GB"/>
          <w14:ligatures w14:val="none"/>
        </w:rPr>
        <w:t xml:space="preserve">. The limit value for a substance declarable for </w:t>
      </w:r>
      <w:r w:rsidRPr="00BB559E">
        <w:rPr>
          <w:rFonts w:eastAsia="Arial" w:cs="Calibri"/>
          <w:lang w:val="en-GB"/>
          <w14:ligatures w14:val="none"/>
        </w:rPr>
        <w:lastRenderedPageBreak/>
        <w:t xml:space="preserve">assessment is 0.1 % w/w in a material or mixture unless otherwise specified in the RISL. Approval is required </w:t>
      </w:r>
      <w:r w:rsidR="00573E35" w:rsidRPr="00BB559E">
        <w:rPr>
          <w:rFonts w:eastAsia="Arial" w:cs="Calibri"/>
          <w:lang w:val="en-GB"/>
          <w14:ligatures w14:val="none"/>
        </w:rPr>
        <w:t>before</w:t>
      </w:r>
      <w:r w:rsidRPr="00BB559E">
        <w:rPr>
          <w:rFonts w:eastAsia="Arial" w:cs="Calibri"/>
          <w:lang w:val="en-GB"/>
          <w14:ligatures w14:val="none"/>
        </w:rPr>
        <w:t xml:space="preserve"> delivery of the goods. </w:t>
      </w:r>
      <w:r w:rsidR="00F02D22" w:rsidRPr="00BB559E">
        <w:rPr>
          <w:rFonts w:eastAsia="Arial" w:cs="Calibri"/>
          <w:lang w:val="en-GB"/>
          <w14:ligatures w14:val="none"/>
        </w:rPr>
        <w:t>If a declarable substance is present in the scope of delivery and exceeds the permitted limit</w:t>
      </w:r>
      <w:r w:rsidR="004A268E" w:rsidRPr="00BB559E">
        <w:rPr>
          <w:rFonts w:eastAsia="Arial" w:cs="Calibri"/>
          <w:lang w:val="en-GB"/>
          <w14:ligatures w14:val="none"/>
        </w:rPr>
        <w:t>, a phase-out plan to eliminate the substance shall be agreed upon by the customer and the supplier, in accordance with</w:t>
      </w:r>
      <w:r w:rsidR="00BA5D04" w:rsidRPr="00BB559E">
        <w:rPr>
          <w:rFonts w:eastAsia="Arial" w:cs="Calibri"/>
          <w:lang w:val="en-GB"/>
          <w14:ligatures w14:val="none"/>
        </w:rPr>
        <w:t xml:space="preserve"> </w:t>
      </w:r>
      <w:r w:rsidR="00AD1C5A" w:rsidRPr="00BB559E">
        <w:rPr>
          <w:rFonts w:eastAsia="Arial" w:cs="Calibri"/>
          <w:lang w:val="en-GB"/>
          <w14:ligatures w14:val="none"/>
        </w:rPr>
        <w:t xml:space="preserve">each </w:t>
      </w:r>
      <w:r w:rsidR="004A268E" w:rsidRPr="00BB559E">
        <w:rPr>
          <w:rFonts w:eastAsia="Arial" w:cs="Calibri"/>
          <w:lang w:val="en-GB"/>
          <w14:ligatures w14:val="none"/>
        </w:rPr>
        <w:t>company’s</w:t>
      </w:r>
      <w:r w:rsidR="00AD1C5A" w:rsidRPr="00BB559E">
        <w:rPr>
          <w:rFonts w:eastAsia="Arial" w:cs="Calibri"/>
          <w:lang w:val="en-GB"/>
          <w14:ligatures w14:val="none"/>
        </w:rPr>
        <w:t xml:space="preserve"> policy</w:t>
      </w:r>
      <w:r w:rsidRPr="00BB559E">
        <w:rPr>
          <w:rFonts w:eastAsia="Arial" w:cs="Calibri"/>
          <w:lang w:val="en-GB"/>
          <w14:ligatures w14:val="none"/>
        </w:rPr>
        <w:t xml:space="preserve">. All Declarable Substances shall be declared for the supplied article using the </w:t>
      </w:r>
      <w:hyperlink r:id="rId47" w:history="1">
        <w:r w:rsidRPr="00BB559E">
          <w:rPr>
            <w:rStyle w:val="Hyperlink"/>
            <w:rFonts w:eastAsia="Arial" w:cs="Calibri"/>
            <w:color w:val="008338"/>
            <w:lang w:val="en-GB"/>
            <w14:ligatures w14:val="none"/>
          </w:rPr>
          <w:t xml:space="preserve">UNIFE Material </w:t>
        </w:r>
        <w:r w:rsidR="00302001" w:rsidRPr="00BB559E">
          <w:rPr>
            <w:rStyle w:val="Hyperlink"/>
            <w:rFonts w:eastAsia="Arial" w:cs="Calibri"/>
            <w:color w:val="008338"/>
            <w:lang w:val="en-GB"/>
            <w14:ligatures w14:val="none"/>
          </w:rPr>
          <w:t xml:space="preserve">and Substance </w:t>
        </w:r>
        <w:r w:rsidRPr="00BB559E">
          <w:rPr>
            <w:rStyle w:val="Hyperlink"/>
            <w:rFonts w:eastAsia="Arial" w:cs="Calibri"/>
            <w:color w:val="008338"/>
            <w:lang w:val="en-GB"/>
            <w14:ligatures w14:val="none"/>
          </w:rPr>
          <w:t>Declaration template</w:t>
        </w:r>
      </w:hyperlink>
      <w:r w:rsidRPr="00BB559E">
        <w:rPr>
          <w:rFonts w:eastAsia="Arial" w:cs="Calibri"/>
          <w:lang w:val="en-GB"/>
          <w14:ligatures w14:val="none"/>
        </w:rPr>
        <w:t>.</w:t>
      </w:r>
    </w:p>
    <w:p w14:paraId="16A8C199" w14:textId="77777777" w:rsidR="00EC2819" w:rsidRPr="00BB559E" w:rsidRDefault="00EC2819" w:rsidP="000C72A6">
      <w:pPr>
        <w:spacing w:line="360" w:lineRule="auto"/>
        <w:jc w:val="both"/>
        <w:rPr>
          <w:rFonts w:eastAsia="Arial" w:cs="Calibri"/>
          <w:lang w:val="en-GB"/>
          <w14:ligatures w14:val="none"/>
        </w:rPr>
      </w:pPr>
    </w:p>
    <w:p w14:paraId="4C8CFD69" w14:textId="4E225878" w:rsidR="001C3DEA" w:rsidRPr="00BB559E" w:rsidRDefault="00BA5D04" w:rsidP="000C72A6">
      <w:pPr>
        <w:spacing w:line="360" w:lineRule="auto"/>
        <w:jc w:val="both"/>
        <w:rPr>
          <w:rFonts w:eastAsia="Arial" w:cs="Calibri"/>
          <w:lang w:val="en-GB"/>
          <w14:ligatures w14:val="none"/>
        </w:rPr>
      </w:pPr>
      <w:r w:rsidRPr="00BB559E">
        <w:rPr>
          <w:rFonts w:eastAsia="Arial" w:cs="Calibri"/>
          <w:lang w:val="en-GB"/>
          <w14:ligatures w14:val="none"/>
        </w:rPr>
        <w:t>It is crucial to consider t</w:t>
      </w:r>
      <w:r w:rsidR="001C3DEA" w:rsidRPr="00BB559E">
        <w:rPr>
          <w:rFonts w:eastAsia="Arial" w:cs="Calibri"/>
          <w:lang w:val="en-GB"/>
          <w14:ligatures w14:val="none"/>
        </w:rPr>
        <w:t>he surface coating layer (treatment, paints, etc</w:t>
      </w:r>
      <w:r w:rsidR="00573E35" w:rsidRPr="00BB559E">
        <w:rPr>
          <w:rFonts w:eastAsia="Arial" w:cs="Calibri"/>
          <w:lang w:val="en-GB"/>
          <w14:ligatures w14:val="none"/>
        </w:rPr>
        <w:t>.</w:t>
      </w:r>
      <w:r w:rsidR="001C3DEA" w:rsidRPr="00BB559E">
        <w:rPr>
          <w:rFonts w:eastAsia="Arial" w:cs="Calibri"/>
          <w:lang w:val="en-GB"/>
          <w14:ligatures w14:val="none"/>
        </w:rPr>
        <w:t>) separately regarding content and limit values.</w:t>
      </w:r>
      <w:r w:rsidRPr="00BB559E">
        <w:rPr>
          <w:rFonts w:eastAsia="Arial" w:cs="Calibri"/>
          <w:lang w:val="en-GB"/>
          <w14:ligatures w14:val="none"/>
        </w:rPr>
        <w:t xml:space="preserve"> For instance, the REACH regulation authorises the use of nickel if no skin contact is expected.</w:t>
      </w:r>
    </w:p>
    <w:p w14:paraId="58B61A53" w14:textId="35C518CC" w:rsidR="00F02D22" w:rsidRPr="00BB559E" w:rsidRDefault="00F02D22" w:rsidP="000C72A6">
      <w:pPr>
        <w:spacing w:line="360" w:lineRule="auto"/>
        <w:jc w:val="both"/>
        <w:rPr>
          <w:rFonts w:eastAsia="Arial" w:cs="Calibri"/>
          <w:lang w:val="en-GB"/>
          <w14:ligatures w14:val="none"/>
        </w:rPr>
      </w:pPr>
    </w:p>
    <w:p w14:paraId="57E270AC" w14:textId="12F286D3" w:rsidR="001C3DEA" w:rsidRPr="00BB559E" w:rsidRDefault="001C3DEA" w:rsidP="000C72A6">
      <w:pPr>
        <w:spacing w:line="360" w:lineRule="auto"/>
        <w:jc w:val="both"/>
        <w:rPr>
          <w:rFonts w:eastAsia="Arial" w:cs="Calibri"/>
          <w:b/>
          <w:bCs/>
          <w:lang w:val="en-GB"/>
          <w14:ligatures w14:val="none"/>
        </w:rPr>
      </w:pPr>
      <w:r w:rsidRPr="00BB559E">
        <w:rPr>
          <w:rFonts w:eastAsia="Arial" w:cs="Calibri"/>
          <w:b/>
          <w:bCs/>
          <w:lang w:val="en-GB"/>
          <w14:ligatures w14:val="none"/>
        </w:rPr>
        <w:t xml:space="preserve">Declarable for Information: </w:t>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r>
      <w:r w:rsidRPr="00BB559E">
        <w:rPr>
          <w:rFonts w:eastAsia="Arial" w:cs="Calibri"/>
          <w:b/>
          <w:bCs/>
          <w:lang w:val="en-GB"/>
          <w14:ligatures w14:val="none"/>
        </w:rPr>
        <w:tab/>
        <w:t>Acronym: D(FI)</w:t>
      </w:r>
    </w:p>
    <w:p w14:paraId="250953EC" w14:textId="4D0A795B"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 xml:space="preserve">A substance classified as Declarable for Information D(FI) shall be declared if known to be present with a relevant mass (above 0.1 % w/w) </w:t>
      </w:r>
      <w:bookmarkStart w:id="6" w:name="_Hlk160629644"/>
      <w:r w:rsidR="00E94423" w:rsidRPr="00BB559E">
        <w:rPr>
          <w:rFonts w:eastAsia="Arial" w:cs="Calibri"/>
          <w:lang w:val="en-GB"/>
          <w14:ligatures w14:val="none"/>
        </w:rPr>
        <w:t xml:space="preserve">per </w:t>
      </w:r>
      <w:r w:rsidR="00DD06E7" w:rsidRPr="00BB559E">
        <w:rPr>
          <w:rFonts w:eastAsia="Arial" w:cs="Calibri"/>
          <w:lang w:val="en-GB"/>
          <w14:ligatures w14:val="none"/>
        </w:rPr>
        <w:t xml:space="preserve">article as part of a complex article </w:t>
      </w:r>
      <w:bookmarkEnd w:id="6"/>
      <w:r w:rsidRPr="00BB559E">
        <w:rPr>
          <w:rFonts w:eastAsia="Arial" w:cs="Calibri"/>
          <w:lang w:val="en-GB"/>
          <w14:ligatures w14:val="none"/>
        </w:rPr>
        <w:t>in the scope of supply.</w:t>
      </w:r>
    </w:p>
    <w:p w14:paraId="71E54B9D" w14:textId="04B6644E"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 xml:space="preserve">Declarable for Information D(FI) </w:t>
      </w:r>
      <w:r w:rsidR="00BD142A" w:rsidRPr="00BB559E">
        <w:rPr>
          <w:rFonts w:eastAsia="Arial" w:cs="Calibri"/>
          <w:lang w:val="en-GB"/>
          <w14:ligatures w14:val="none"/>
        </w:rPr>
        <w:t>includes</w:t>
      </w:r>
      <w:r w:rsidRPr="00BB559E">
        <w:rPr>
          <w:rFonts w:eastAsia="Arial" w:cs="Calibri"/>
          <w:lang w:val="en-GB"/>
          <w14:ligatures w14:val="none"/>
        </w:rPr>
        <w:t xml:space="preserve"> all substances that are not listed </w:t>
      </w:r>
      <w:r w:rsidR="00ED4C14" w:rsidRPr="00BB559E">
        <w:rPr>
          <w:rFonts w:eastAsia="Arial" w:cs="Calibri"/>
          <w:lang w:val="en-GB"/>
          <w14:ligatures w14:val="none"/>
        </w:rPr>
        <w:t xml:space="preserve">as P(AR) and D(FA) </w:t>
      </w:r>
      <w:r w:rsidRPr="00BB559E">
        <w:rPr>
          <w:rFonts w:eastAsia="Arial" w:cs="Calibri"/>
          <w:lang w:val="en-GB"/>
          <w14:ligatures w14:val="none"/>
        </w:rPr>
        <w:t xml:space="preserve">and that are classified as “Hazardous” according to the CLP </w:t>
      </w:r>
      <w:r w:rsidR="00EC2819" w:rsidRPr="00BB559E">
        <w:rPr>
          <w:rFonts w:eastAsia="Arial" w:cs="Calibri"/>
          <w:lang w:val="en-GB"/>
          <w14:ligatures w14:val="none"/>
        </w:rPr>
        <w:t>r</w:t>
      </w:r>
      <w:r w:rsidRPr="00BB559E">
        <w:rPr>
          <w:rFonts w:eastAsia="Arial" w:cs="Calibri"/>
          <w:lang w:val="en-GB"/>
          <w14:ligatures w14:val="none"/>
        </w:rPr>
        <w:t>egulation.</w:t>
      </w:r>
      <w:r w:rsidR="00EC2819" w:rsidRPr="00BB559E">
        <w:rPr>
          <w:rStyle w:val="FootnoteReference"/>
          <w:rFonts w:eastAsia="Arial" w:cs="Calibri"/>
          <w:lang w:val="en-GB"/>
          <w14:ligatures w14:val="none"/>
        </w:rPr>
        <w:footnoteReference w:id="6"/>
      </w:r>
    </w:p>
    <w:p w14:paraId="17DE36FB" w14:textId="6B747663" w:rsidR="00783247" w:rsidRPr="00BB559E" w:rsidRDefault="00783247">
      <w:pPr>
        <w:spacing w:after="160" w:line="259" w:lineRule="auto"/>
        <w:rPr>
          <w:rFonts w:eastAsia="Arial" w:cs="Calibri"/>
          <w:lang w:val="en-GB"/>
          <w14:ligatures w14:val="none"/>
        </w:rPr>
      </w:pPr>
    </w:p>
    <w:p w14:paraId="780458A4" w14:textId="77777777" w:rsidR="00917628" w:rsidRPr="00BB559E" w:rsidRDefault="00917628">
      <w:pPr>
        <w:spacing w:after="160" w:line="259" w:lineRule="auto"/>
        <w:rPr>
          <w:rFonts w:eastAsia="Arial" w:cs="Calibri"/>
          <w:lang w:val="en-GB"/>
          <w14:ligatures w14:val="none"/>
        </w:rPr>
      </w:pPr>
    </w:p>
    <w:p w14:paraId="2A7F5766" w14:textId="3909FA5B" w:rsidR="001C3DEA" w:rsidRPr="00BB559E" w:rsidRDefault="0058250C" w:rsidP="000C72A6">
      <w:pPr>
        <w:pStyle w:val="Heading2"/>
        <w:spacing w:before="0" w:after="0"/>
        <w:rPr>
          <w:rFonts w:ascii="Aptos" w:hAnsi="Aptos" w:cs="Calibri"/>
          <w:color w:val="008338"/>
          <w:lang w:val="en-GB"/>
        </w:rPr>
      </w:pPr>
      <w:r w:rsidRPr="00BB559E">
        <w:rPr>
          <w:rFonts w:ascii="Aptos" w:hAnsi="Aptos" w:cs="Calibri"/>
          <w:color w:val="008338"/>
          <w:lang w:val="en-GB"/>
        </w:rPr>
        <w:t>How to use the RISL during parts and components design?</w:t>
      </w:r>
    </w:p>
    <w:p w14:paraId="73713B9A" w14:textId="77777777" w:rsidR="00783247" w:rsidRPr="00BB559E" w:rsidRDefault="00783247" w:rsidP="000C72A6">
      <w:pPr>
        <w:spacing w:line="360" w:lineRule="auto"/>
        <w:jc w:val="both"/>
        <w:rPr>
          <w:rFonts w:eastAsia="Arial" w:cs="Calibri"/>
          <w:lang w:val="en-GB"/>
          <w14:ligatures w14:val="none"/>
        </w:rPr>
      </w:pPr>
    </w:p>
    <w:p w14:paraId="3C9D322E" w14:textId="735E7E59" w:rsidR="00F3381A" w:rsidRPr="00BB559E" w:rsidRDefault="00573E35" w:rsidP="000C72A6">
      <w:pPr>
        <w:spacing w:line="360" w:lineRule="auto"/>
        <w:jc w:val="both"/>
        <w:rPr>
          <w:rFonts w:eastAsia="Arial" w:cs="Calibri"/>
          <w:lang w:val="en-GB"/>
          <w14:ligatures w14:val="none"/>
        </w:rPr>
      </w:pPr>
      <w:r w:rsidRPr="00BB559E">
        <w:rPr>
          <w:rFonts w:eastAsia="Arial" w:cs="Calibri"/>
          <w:lang w:val="en-GB"/>
          <w14:ligatures w14:val="none"/>
        </w:rPr>
        <w:t>Before</w:t>
      </w:r>
      <w:r w:rsidR="00F3381A" w:rsidRPr="00BB559E">
        <w:rPr>
          <w:rFonts w:eastAsia="Arial" w:cs="Calibri"/>
          <w:lang w:val="en-GB"/>
          <w14:ligatures w14:val="none"/>
        </w:rPr>
        <w:t xml:space="preserve"> any design, the supplier shall check </w:t>
      </w:r>
      <w:r w:rsidRPr="00BB559E">
        <w:rPr>
          <w:rFonts w:eastAsia="Arial" w:cs="Calibri"/>
          <w:lang w:val="en-GB"/>
          <w14:ligatures w14:val="none"/>
        </w:rPr>
        <w:t xml:space="preserve">the applicable </w:t>
      </w:r>
      <w:r w:rsidR="004A268E" w:rsidRPr="00BB559E">
        <w:rPr>
          <w:rFonts w:eastAsia="Arial" w:cs="Calibri"/>
          <w:lang w:val="en-GB"/>
          <w14:ligatures w14:val="none"/>
        </w:rPr>
        <w:t xml:space="preserve">RISL rules </w:t>
      </w:r>
      <w:r w:rsidRPr="00BB559E">
        <w:rPr>
          <w:rFonts w:eastAsia="Arial" w:cs="Calibri"/>
          <w:lang w:val="en-GB"/>
          <w14:ligatures w14:val="none"/>
        </w:rPr>
        <w:t>with its customers</w:t>
      </w:r>
      <w:r w:rsidR="00F3381A" w:rsidRPr="00BB559E">
        <w:rPr>
          <w:rFonts w:eastAsia="Arial" w:cs="Calibri"/>
          <w:lang w:val="en-GB"/>
          <w14:ligatures w14:val="none"/>
        </w:rPr>
        <w:t>.</w:t>
      </w:r>
    </w:p>
    <w:p w14:paraId="72489C53" w14:textId="6392C7A2"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When designing a part and components and their assemblies, the suppliers shall verify the presence of the P(AR), D(FA) or D(FI) substances by checking</w:t>
      </w:r>
      <w:r w:rsidR="0058250C" w:rsidRPr="00BB559E">
        <w:rPr>
          <w:rFonts w:eastAsia="Arial" w:cs="Calibri"/>
          <w:lang w:val="en-GB"/>
          <w14:ligatures w14:val="none"/>
        </w:rPr>
        <w:t>:</w:t>
      </w:r>
    </w:p>
    <w:p w14:paraId="66A205CD" w14:textId="5F829F82" w:rsidR="001C3DEA" w:rsidRPr="00BB559E" w:rsidRDefault="001C3DEA" w:rsidP="000C72A6">
      <w:pPr>
        <w:pStyle w:val="ListParagraph"/>
        <w:numPr>
          <w:ilvl w:val="0"/>
          <w:numId w:val="6"/>
        </w:numPr>
        <w:spacing w:line="360" w:lineRule="auto"/>
        <w:jc w:val="both"/>
        <w:rPr>
          <w:rFonts w:eastAsia="Arial" w:cs="Calibri"/>
          <w:lang w:val="en-GB"/>
          <w14:ligatures w14:val="none"/>
        </w:rPr>
      </w:pPr>
      <w:r w:rsidRPr="00BB559E">
        <w:rPr>
          <w:rFonts w:eastAsia="Arial" w:cs="Calibri"/>
          <w:lang w:val="en-GB"/>
          <w14:ligatures w14:val="none"/>
        </w:rPr>
        <w:t xml:space="preserve">Its SDS (Safety Data Sheet) if </w:t>
      </w:r>
      <w:r w:rsidR="0058250C" w:rsidRPr="00BB559E">
        <w:rPr>
          <w:rFonts w:eastAsia="Arial" w:cs="Calibri"/>
          <w:lang w:val="en-GB"/>
          <w14:ligatures w14:val="none"/>
        </w:rPr>
        <w:t>the part is made from mixtures of substances,</w:t>
      </w:r>
      <w:r w:rsidRPr="00BB559E">
        <w:rPr>
          <w:rFonts w:eastAsia="Arial" w:cs="Calibri"/>
          <w:lang w:val="en-GB"/>
          <w14:ligatures w14:val="none"/>
        </w:rPr>
        <w:t xml:space="preserve"> </w:t>
      </w:r>
      <w:r w:rsidR="0058250C" w:rsidRPr="00BB559E">
        <w:rPr>
          <w:rFonts w:eastAsia="Arial" w:cs="Calibri"/>
          <w:lang w:val="en-GB"/>
          <w14:ligatures w14:val="none"/>
        </w:rPr>
        <w:t>i.e.,</w:t>
      </w:r>
      <w:r w:rsidRPr="00BB559E">
        <w:rPr>
          <w:rFonts w:eastAsia="Arial" w:cs="Calibri"/>
          <w:lang w:val="en-GB"/>
          <w14:ligatures w14:val="none"/>
        </w:rPr>
        <w:t xml:space="preserve"> </w:t>
      </w:r>
      <w:r w:rsidR="0058250C" w:rsidRPr="00BB559E">
        <w:rPr>
          <w:rFonts w:eastAsia="Arial" w:cs="Calibri"/>
          <w:lang w:val="en-GB"/>
          <w14:ligatures w14:val="none"/>
        </w:rPr>
        <w:t>non-finished</w:t>
      </w:r>
      <w:r w:rsidRPr="00BB559E">
        <w:rPr>
          <w:rFonts w:eastAsia="Arial" w:cs="Calibri"/>
          <w:lang w:val="en-GB"/>
          <w14:ligatures w14:val="none"/>
        </w:rPr>
        <w:t xml:space="preserve"> products (e</w:t>
      </w:r>
      <w:r w:rsidR="004A268E" w:rsidRPr="00BB559E">
        <w:rPr>
          <w:rFonts w:eastAsia="Arial" w:cs="Calibri"/>
          <w:lang w:val="en-GB"/>
          <w14:ligatures w14:val="none"/>
        </w:rPr>
        <w:t>.g.,</w:t>
      </w:r>
      <w:r w:rsidRPr="00BB559E">
        <w:rPr>
          <w:rFonts w:eastAsia="Arial" w:cs="Calibri"/>
          <w:lang w:val="en-GB"/>
          <w14:ligatures w14:val="none"/>
        </w:rPr>
        <w:t xml:space="preserve"> paints, glues, resin, soldering mixtures...)</w:t>
      </w:r>
      <w:r w:rsidR="0058250C" w:rsidRPr="00BB559E">
        <w:rPr>
          <w:rFonts w:eastAsia="Arial" w:cs="Calibri"/>
          <w:lang w:val="en-GB"/>
          <w14:ligatures w14:val="none"/>
        </w:rPr>
        <w:t>;</w:t>
      </w:r>
    </w:p>
    <w:p w14:paraId="70C567CE" w14:textId="0ABE8BF5" w:rsidR="001C3DEA" w:rsidRPr="00BB559E" w:rsidRDefault="001C3DEA" w:rsidP="000C72A6">
      <w:pPr>
        <w:pStyle w:val="ListParagraph"/>
        <w:numPr>
          <w:ilvl w:val="0"/>
          <w:numId w:val="6"/>
        </w:numPr>
        <w:spacing w:line="360" w:lineRule="auto"/>
        <w:jc w:val="both"/>
        <w:rPr>
          <w:rFonts w:eastAsia="Arial" w:cs="Calibri"/>
          <w:lang w:val="en-GB"/>
          <w14:ligatures w14:val="none"/>
        </w:rPr>
      </w:pPr>
      <w:r w:rsidRPr="00BB559E">
        <w:rPr>
          <w:rFonts w:eastAsia="Arial" w:cs="Calibri"/>
          <w:lang w:val="en-GB"/>
          <w14:ligatures w14:val="none"/>
        </w:rPr>
        <w:t>With its own suppliers.</w:t>
      </w:r>
    </w:p>
    <w:p w14:paraId="5100D01A" w14:textId="77777777" w:rsidR="00F3381A" w:rsidRPr="00BB559E" w:rsidRDefault="00F3381A" w:rsidP="000C72A6">
      <w:pPr>
        <w:spacing w:line="360" w:lineRule="auto"/>
        <w:jc w:val="both"/>
        <w:rPr>
          <w:rFonts w:eastAsia="Arial" w:cs="Calibri"/>
          <w:lang w:val="en-GB"/>
          <w14:ligatures w14:val="none"/>
        </w:rPr>
      </w:pPr>
    </w:p>
    <w:p w14:paraId="602C3DF9" w14:textId="4D2B08A6"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In case</w:t>
      </w:r>
      <w:r w:rsidR="0058250C" w:rsidRPr="00BB559E">
        <w:rPr>
          <w:rFonts w:eastAsia="Arial" w:cs="Calibri"/>
          <w:lang w:val="en-GB"/>
          <w14:ligatures w14:val="none"/>
        </w:rPr>
        <w:t xml:space="preserve"> </w:t>
      </w:r>
      <w:r w:rsidR="0058250C" w:rsidRPr="00BB559E">
        <w:rPr>
          <w:rFonts w:eastAsia="Arial" w:cs="Calibri"/>
          <w:b/>
          <w:bCs/>
          <w:lang w:val="en-GB"/>
          <w14:ligatures w14:val="none"/>
        </w:rPr>
        <w:t>P(AR) or D(FA) substances</w:t>
      </w:r>
      <w:r w:rsidR="0058250C" w:rsidRPr="00BB559E">
        <w:rPr>
          <w:rFonts w:eastAsia="Arial" w:cs="Calibri"/>
          <w:lang w:val="en-GB"/>
          <w14:ligatures w14:val="none"/>
        </w:rPr>
        <w:t xml:space="preserve"> are detected, the field “Controlled application” shall be checked </w:t>
      </w:r>
      <w:r w:rsidR="00573E35" w:rsidRPr="00BB559E">
        <w:rPr>
          <w:rFonts w:eastAsia="Arial" w:cs="Calibri"/>
          <w:lang w:val="en-GB"/>
          <w14:ligatures w14:val="none"/>
        </w:rPr>
        <w:t>to</w:t>
      </w:r>
      <w:r w:rsidR="0058250C" w:rsidRPr="00BB559E">
        <w:rPr>
          <w:rFonts w:eastAsia="Arial" w:cs="Calibri"/>
          <w:lang w:val="en-GB"/>
          <w14:ligatures w14:val="none"/>
        </w:rPr>
        <w:t xml:space="preserve"> determine if the use (application) is strictly prohibited,</w:t>
      </w:r>
      <w:r w:rsidRPr="00BB559E">
        <w:rPr>
          <w:rFonts w:eastAsia="Arial" w:cs="Calibri"/>
          <w:lang w:val="en-GB"/>
          <w14:ligatures w14:val="none"/>
        </w:rPr>
        <w:t xml:space="preserve"> </w:t>
      </w:r>
      <w:r w:rsidR="0058250C" w:rsidRPr="00BB559E">
        <w:rPr>
          <w:rFonts w:eastAsia="Arial" w:cs="Calibri"/>
          <w:lang w:val="en-GB"/>
          <w14:ligatures w14:val="none"/>
        </w:rPr>
        <w:t>i.e.,</w:t>
      </w:r>
      <w:r w:rsidRPr="00BB559E">
        <w:rPr>
          <w:rFonts w:eastAsia="Arial" w:cs="Calibri"/>
          <w:lang w:val="en-GB"/>
          <w14:ligatures w14:val="none"/>
        </w:rPr>
        <w:t xml:space="preserve"> P(AR) case is still permitted in certain conditions</w:t>
      </w:r>
      <w:r w:rsidR="004A268E" w:rsidRPr="00BB559E">
        <w:rPr>
          <w:rFonts w:eastAsia="Arial" w:cs="Calibri"/>
          <w:lang w:val="en-GB"/>
          <w14:ligatures w14:val="none"/>
        </w:rPr>
        <w:t>,</w:t>
      </w:r>
      <w:r w:rsidRPr="00BB559E">
        <w:rPr>
          <w:rFonts w:eastAsia="Arial" w:cs="Calibri"/>
          <w:lang w:val="en-GB"/>
          <w14:ligatures w14:val="none"/>
        </w:rPr>
        <w:t xml:space="preserve"> depending on approval from the customer</w:t>
      </w:r>
      <w:r w:rsidR="0058250C" w:rsidRPr="00BB559E">
        <w:rPr>
          <w:rFonts w:eastAsia="Arial" w:cs="Calibri"/>
          <w:lang w:val="en-GB"/>
          <w14:ligatures w14:val="none"/>
        </w:rPr>
        <w:t>,</w:t>
      </w:r>
      <w:r w:rsidRPr="00BB559E">
        <w:rPr>
          <w:rFonts w:eastAsia="Arial" w:cs="Calibri"/>
          <w:lang w:val="en-GB"/>
          <w14:ligatures w14:val="none"/>
        </w:rPr>
        <w:t xml:space="preserve"> </w:t>
      </w:r>
      <w:r w:rsidR="0058250C" w:rsidRPr="00BB559E">
        <w:rPr>
          <w:rFonts w:eastAsia="Arial" w:cs="Calibri"/>
          <w:lang w:val="en-GB"/>
          <w14:ligatures w14:val="none"/>
        </w:rPr>
        <w:t>i.e.,</w:t>
      </w:r>
      <w:r w:rsidRPr="00BB559E">
        <w:rPr>
          <w:rFonts w:eastAsia="Arial" w:cs="Calibri"/>
          <w:lang w:val="en-GB"/>
          <w14:ligatures w14:val="none"/>
        </w:rPr>
        <w:t xml:space="preserve"> D(FA) case.</w:t>
      </w:r>
    </w:p>
    <w:p w14:paraId="1C526847" w14:textId="77777777" w:rsidR="001C3DEA" w:rsidRPr="00BB559E" w:rsidRDefault="001C3DEA" w:rsidP="000C72A6">
      <w:pPr>
        <w:spacing w:line="360" w:lineRule="auto"/>
        <w:jc w:val="both"/>
        <w:rPr>
          <w:rFonts w:eastAsia="Arial" w:cs="Calibri"/>
          <w:lang w:val="en-GB"/>
          <w14:ligatures w14:val="none"/>
        </w:rPr>
      </w:pPr>
    </w:p>
    <w:p w14:paraId="20773812" w14:textId="67F950CE"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lastRenderedPageBreak/>
        <w:t xml:space="preserve">If a </w:t>
      </w:r>
      <w:r w:rsidRPr="00BB559E">
        <w:rPr>
          <w:rFonts w:eastAsia="Arial" w:cs="Calibri"/>
          <w:b/>
          <w:bCs/>
          <w:lang w:val="en-GB"/>
          <w14:ligatures w14:val="none"/>
        </w:rPr>
        <w:t>P(AR) substance</w:t>
      </w:r>
      <w:r w:rsidRPr="00BB559E">
        <w:rPr>
          <w:rFonts w:eastAsia="Arial" w:cs="Calibri"/>
          <w:lang w:val="en-GB"/>
          <w14:ligatures w14:val="none"/>
        </w:rPr>
        <w:t xml:space="preserve"> is detected, selected parts, components or assemblies are not compliant with legislation. Consequently, the design shall be changed.</w:t>
      </w:r>
    </w:p>
    <w:p w14:paraId="1FC5CEC3" w14:textId="77777777" w:rsidR="0058250C" w:rsidRPr="00BB559E" w:rsidRDefault="0058250C" w:rsidP="000C72A6">
      <w:pPr>
        <w:spacing w:line="360" w:lineRule="auto"/>
        <w:jc w:val="both"/>
        <w:rPr>
          <w:rFonts w:eastAsia="Arial" w:cs="Calibri"/>
          <w:lang w:val="en-GB"/>
          <w14:ligatures w14:val="none"/>
        </w:rPr>
      </w:pPr>
    </w:p>
    <w:p w14:paraId="18AEE0EF" w14:textId="524FFB46"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I</w:t>
      </w:r>
      <w:r w:rsidR="00573E35" w:rsidRPr="00BB559E">
        <w:rPr>
          <w:rFonts w:eastAsia="Arial" w:cs="Calibri"/>
          <w:lang w:val="en-GB"/>
          <w14:ligatures w14:val="none"/>
        </w:rPr>
        <w:t xml:space="preserve">f </w:t>
      </w:r>
      <w:r w:rsidRPr="00BB559E">
        <w:rPr>
          <w:rFonts w:eastAsia="Arial" w:cs="Calibri"/>
          <w:lang w:val="en-GB"/>
          <w14:ligatures w14:val="none"/>
        </w:rPr>
        <w:t xml:space="preserve">a </w:t>
      </w:r>
      <w:r w:rsidRPr="00BB559E">
        <w:rPr>
          <w:rFonts w:eastAsia="Arial" w:cs="Calibri"/>
          <w:b/>
          <w:bCs/>
          <w:lang w:val="en-GB"/>
          <w14:ligatures w14:val="none"/>
        </w:rPr>
        <w:t>D(FA) substance</w:t>
      </w:r>
      <w:r w:rsidRPr="00BB559E">
        <w:rPr>
          <w:rFonts w:eastAsia="Arial" w:cs="Calibri"/>
          <w:lang w:val="en-GB"/>
          <w14:ligatures w14:val="none"/>
        </w:rPr>
        <w:t xml:space="preserve"> is detected, </w:t>
      </w:r>
      <w:r w:rsidR="0058250C" w:rsidRPr="00BB559E">
        <w:rPr>
          <w:rFonts w:eastAsia="Arial" w:cs="Calibri"/>
          <w:lang w:val="en-GB"/>
          <w14:ligatures w14:val="none"/>
        </w:rPr>
        <w:t>there is a risk of future prohibition or contractual nonconformity</w:t>
      </w:r>
      <w:r w:rsidRPr="00BB559E">
        <w:rPr>
          <w:rFonts w:eastAsia="Arial" w:cs="Calibri"/>
          <w:lang w:val="en-GB"/>
          <w14:ligatures w14:val="none"/>
        </w:rPr>
        <w:t xml:space="preserve">. In that case, </w:t>
      </w:r>
      <w:r w:rsidR="0058250C" w:rsidRPr="00BB559E">
        <w:rPr>
          <w:rFonts w:eastAsia="Arial" w:cs="Calibri"/>
          <w:lang w:val="en-GB"/>
          <w14:ligatures w14:val="none"/>
        </w:rPr>
        <w:t xml:space="preserve">the </w:t>
      </w:r>
      <w:r w:rsidR="00AD1C5A" w:rsidRPr="00BB559E">
        <w:rPr>
          <w:rFonts w:eastAsia="Arial" w:cs="Calibri"/>
          <w:lang w:val="en-GB"/>
          <w14:ligatures w14:val="none"/>
        </w:rPr>
        <w:t>possibility of substitution shall be investigated, and substitution shall be made</w:t>
      </w:r>
      <w:r w:rsidR="0058250C" w:rsidRPr="00BB559E">
        <w:rPr>
          <w:rFonts w:eastAsia="Arial" w:cs="Calibri"/>
          <w:lang w:val="en-GB"/>
          <w14:ligatures w14:val="none"/>
        </w:rPr>
        <w:t xml:space="preserve"> if an </w:t>
      </w:r>
      <w:r w:rsidRPr="00BB559E">
        <w:rPr>
          <w:rFonts w:eastAsia="Arial" w:cs="Calibri"/>
          <w:lang w:val="en-GB"/>
          <w14:ligatures w14:val="none"/>
        </w:rPr>
        <w:t>alternative exists.</w:t>
      </w:r>
    </w:p>
    <w:p w14:paraId="7BD04183" w14:textId="77777777" w:rsidR="0058250C" w:rsidRPr="00BB559E" w:rsidRDefault="0058250C" w:rsidP="000C72A6">
      <w:pPr>
        <w:spacing w:line="360" w:lineRule="auto"/>
        <w:jc w:val="both"/>
        <w:rPr>
          <w:rFonts w:eastAsia="Arial" w:cs="Calibri"/>
          <w:lang w:val="en-GB"/>
          <w14:ligatures w14:val="none"/>
        </w:rPr>
      </w:pPr>
    </w:p>
    <w:p w14:paraId="07F7F4DD" w14:textId="007DFF89"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I</w:t>
      </w:r>
      <w:r w:rsidR="00573E35" w:rsidRPr="00BB559E">
        <w:rPr>
          <w:rFonts w:eastAsia="Arial" w:cs="Calibri"/>
          <w:lang w:val="en-GB"/>
          <w14:ligatures w14:val="none"/>
        </w:rPr>
        <w:t xml:space="preserve">f </w:t>
      </w:r>
      <w:r w:rsidRPr="00BB559E">
        <w:rPr>
          <w:rFonts w:eastAsia="Arial" w:cs="Calibri"/>
          <w:lang w:val="en-GB"/>
          <w14:ligatures w14:val="none"/>
        </w:rPr>
        <w:t xml:space="preserve">a </w:t>
      </w:r>
      <w:r w:rsidRPr="00BB559E">
        <w:rPr>
          <w:rFonts w:eastAsia="Arial" w:cs="Calibri"/>
          <w:b/>
          <w:bCs/>
          <w:lang w:val="en-GB"/>
          <w14:ligatures w14:val="none"/>
        </w:rPr>
        <w:t>D(FI) substance</w:t>
      </w:r>
      <w:r w:rsidRPr="00BB559E">
        <w:rPr>
          <w:rFonts w:eastAsia="Arial" w:cs="Calibri"/>
          <w:lang w:val="en-GB"/>
          <w14:ligatures w14:val="none"/>
        </w:rPr>
        <w:t xml:space="preserve"> with a relevant mass (above 0.1 % w/w) is detected, </w:t>
      </w:r>
      <w:r w:rsidR="0058250C" w:rsidRPr="00BB559E">
        <w:rPr>
          <w:rFonts w:eastAsia="Arial" w:cs="Calibri"/>
          <w:lang w:val="en-GB"/>
          <w14:ligatures w14:val="none"/>
        </w:rPr>
        <w:t xml:space="preserve">the </w:t>
      </w:r>
      <w:r w:rsidRPr="00BB559E">
        <w:rPr>
          <w:rFonts w:eastAsia="Arial" w:cs="Calibri"/>
          <w:lang w:val="en-GB"/>
          <w14:ligatures w14:val="none"/>
        </w:rPr>
        <w:t xml:space="preserve">information shall be recorded and consulted </w:t>
      </w:r>
      <w:r w:rsidR="00AD1C5A" w:rsidRPr="00BB559E">
        <w:rPr>
          <w:rFonts w:eastAsia="Arial" w:cs="Calibri"/>
          <w:lang w:val="en-GB"/>
          <w14:ligatures w14:val="none"/>
        </w:rPr>
        <w:t>for legislation and RISL updates</w:t>
      </w:r>
      <w:r w:rsidRPr="00BB559E">
        <w:rPr>
          <w:rFonts w:eastAsia="Arial" w:cs="Calibri"/>
          <w:lang w:val="en-GB"/>
          <w14:ligatures w14:val="none"/>
        </w:rPr>
        <w:t>.</w:t>
      </w:r>
    </w:p>
    <w:p w14:paraId="510BA218" w14:textId="77777777" w:rsidR="001C3DEA" w:rsidRPr="00BB559E" w:rsidRDefault="001C3DEA" w:rsidP="000C72A6">
      <w:pPr>
        <w:spacing w:line="360" w:lineRule="auto"/>
        <w:jc w:val="both"/>
        <w:rPr>
          <w:rFonts w:eastAsia="Arial" w:cs="Calibri"/>
          <w:lang w:val="en-GB"/>
          <w14:ligatures w14:val="none"/>
        </w:rPr>
      </w:pPr>
    </w:p>
    <w:p w14:paraId="40452DFF" w14:textId="77777777" w:rsidR="00783247" w:rsidRPr="00BB559E" w:rsidRDefault="00783247" w:rsidP="000C72A6">
      <w:pPr>
        <w:spacing w:line="360" w:lineRule="auto"/>
        <w:jc w:val="both"/>
        <w:rPr>
          <w:rFonts w:eastAsia="Arial" w:cs="Calibri"/>
          <w:lang w:val="en-GB"/>
          <w14:ligatures w14:val="none"/>
        </w:rPr>
      </w:pPr>
    </w:p>
    <w:p w14:paraId="15FF9861" w14:textId="651C6553" w:rsidR="001C3DEA" w:rsidRPr="00BB559E" w:rsidRDefault="00F3381A" w:rsidP="00A22F1B">
      <w:pPr>
        <w:pStyle w:val="Heading2"/>
        <w:spacing w:before="0" w:after="0"/>
        <w:rPr>
          <w:rFonts w:ascii="Aptos" w:hAnsi="Aptos" w:cs="Calibri"/>
          <w:color w:val="008338"/>
          <w:lang w:val="en-GB"/>
        </w:rPr>
      </w:pPr>
      <w:r w:rsidRPr="00BB559E">
        <w:rPr>
          <w:rFonts w:ascii="Aptos" w:hAnsi="Aptos" w:cs="Calibri"/>
          <w:color w:val="008338"/>
          <w:lang w:val="en-GB"/>
        </w:rPr>
        <w:t>How to use the RISL during parts and components delivery to customers?</w:t>
      </w:r>
    </w:p>
    <w:p w14:paraId="2DC14A25" w14:textId="77777777" w:rsidR="00A22F1B" w:rsidRPr="00BB559E" w:rsidRDefault="00A22F1B" w:rsidP="000C72A6">
      <w:pPr>
        <w:spacing w:line="360" w:lineRule="auto"/>
        <w:jc w:val="both"/>
        <w:rPr>
          <w:rFonts w:eastAsia="Arial" w:cs="Calibri"/>
          <w:lang w:val="en-GB"/>
          <w14:ligatures w14:val="none"/>
        </w:rPr>
      </w:pPr>
    </w:p>
    <w:p w14:paraId="37E21067" w14:textId="5601416A" w:rsidR="00F3381A" w:rsidRPr="00BB559E" w:rsidRDefault="00573E35" w:rsidP="000C72A6">
      <w:pPr>
        <w:spacing w:line="360" w:lineRule="auto"/>
        <w:jc w:val="both"/>
        <w:rPr>
          <w:rFonts w:eastAsia="Arial" w:cs="Calibri"/>
          <w:lang w:val="en-GB"/>
          <w14:ligatures w14:val="none"/>
        </w:rPr>
      </w:pPr>
      <w:r w:rsidRPr="00BB559E">
        <w:rPr>
          <w:rFonts w:eastAsia="Arial" w:cs="Calibri"/>
          <w:lang w:val="en-GB"/>
          <w14:ligatures w14:val="none"/>
        </w:rPr>
        <w:t>Before</w:t>
      </w:r>
      <w:r w:rsidR="001C3DEA" w:rsidRPr="00BB559E">
        <w:rPr>
          <w:rFonts w:eastAsia="Arial" w:cs="Calibri"/>
          <w:lang w:val="en-GB"/>
          <w14:ligatures w14:val="none"/>
        </w:rPr>
        <w:t xml:space="preserve"> any supply, the supplier shall check </w:t>
      </w:r>
      <w:r w:rsidRPr="00BB559E">
        <w:rPr>
          <w:rFonts w:eastAsia="Arial" w:cs="Calibri"/>
          <w:lang w:val="en-GB"/>
          <w14:ligatures w14:val="none"/>
        </w:rPr>
        <w:t xml:space="preserve">the applicable </w:t>
      </w:r>
      <w:r w:rsidR="003C5812" w:rsidRPr="00BB559E">
        <w:rPr>
          <w:rFonts w:eastAsia="Arial" w:cs="Calibri"/>
          <w:lang w:val="en-GB"/>
          <w14:ligatures w14:val="none"/>
        </w:rPr>
        <w:t xml:space="preserve">RISL rules </w:t>
      </w:r>
      <w:r w:rsidRPr="00BB559E">
        <w:rPr>
          <w:rFonts w:eastAsia="Arial" w:cs="Calibri"/>
          <w:lang w:val="en-GB"/>
          <w14:ligatures w14:val="none"/>
        </w:rPr>
        <w:t>with its customers</w:t>
      </w:r>
      <w:r w:rsidR="001C3DEA" w:rsidRPr="00BB559E">
        <w:rPr>
          <w:rFonts w:eastAsia="Arial" w:cs="Calibri"/>
          <w:lang w:val="en-GB"/>
          <w14:ligatures w14:val="none"/>
        </w:rPr>
        <w:t>.</w:t>
      </w:r>
    </w:p>
    <w:p w14:paraId="09856E80" w14:textId="769C06AC" w:rsidR="001C3DEA" w:rsidRPr="00BB559E" w:rsidRDefault="001C3DEA" w:rsidP="000C72A6">
      <w:pPr>
        <w:spacing w:line="360" w:lineRule="auto"/>
        <w:jc w:val="both"/>
        <w:rPr>
          <w:rFonts w:eastAsia="Arial" w:cs="Calibri"/>
          <w:lang w:val="en-GB"/>
          <w14:ligatures w14:val="none"/>
        </w:rPr>
      </w:pPr>
      <w:r w:rsidRPr="00BB559E">
        <w:rPr>
          <w:rFonts w:eastAsia="Arial" w:cs="Calibri"/>
          <w:lang w:val="en-GB"/>
          <w14:ligatures w14:val="none"/>
        </w:rPr>
        <w:t>In general</w:t>
      </w:r>
      <w:r w:rsidR="00F3381A" w:rsidRPr="00BB559E">
        <w:rPr>
          <w:rFonts w:eastAsia="Arial" w:cs="Calibri"/>
          <w:lang w:val="en-GB"/>
          <w14:ligatures w14:val="none"/>
        </w:rPr>
        <w:t>,</w:t>
      </w:r>
      <w:r w:rsidRPr="00BB559E">
        <w:rPr>
          <w:rFonts w:eastAsia="Arial" w:cs="Calibri"/>
          <w:lang w:val="en-GB"/>
          <w14:ligatures w14:val="none"/>
        </w:rPr>
        <w:t xml:space="preserve"> the following rules shall apply:</w:t>
      </w:r>
    </w:p>
    <w:p w14:paraId="73E35F6A" w14:textId="77777777" w:rsidR="00F3381A" w:rsidRPr="00BB559E" w:rsidRDefault="001C3DEA" w:rsidP="000C72A6">
      <w:pPr>
        <w:pStyle w:val="ListParagraph"/>
        <w:numPr>
          <w:ilvl w:val="0"/>
          <w:numId w:val="6"/>
        </w:numPr>
        <w:spacing w:line="360" w:lineRule="auto"/>
        <w:jc w:val="both"/>
        <w:rPr>
          <w:rFonts w:eastAsia="Arial" w:cs="Calibri"/>
          <w:lang w:val="en-GB"/>
          <w14:ligatures w14:val="none"/>
        </w:rPr>
      </w:pPr>
      <w:r w:rsidRPr="00BB559E">
        <w:rPr>
          <w:rFonts w:eastAsia="Arial" w:cs="Calibri"/>
          <w:lang w:val="en-GB"/>
          <w14:ligatures w14:val="none"/>
        </w:rPr>
        <w:t xml:space="preserve">The supplier shall commit that no </w:t>
      </w:r>
      <w:r w:rsidRPr="00BB559E">
        <w:rPr>
          <w:rFonts w:eastAsia="Arial" w:cs="Calibri"/>
          <w:b/>
          <w:bCs/>
          <w:lang w:val="en-GB"/>
          <w14:ligatures w14:val="none"/>
        </w:rPr>
        <w:t>P(AR) substance</w:t>
      </w:r>
      <w:r w:rsidRPr="00BB559E">
        <w:rPr>
          <w:rFonts w:eastAsia="Arial" w:cs="Calibri"/>
          <w:lang w:val="en-GB"/>
          <w14:ligatures w14:val="none"/>
        </w:rPr>
        <w:t xml:space="preserve"> is present in its scope of supply before any delivery.</w:t>
      </w:r>
    </w:p>
    <w:p w14:paraId="1A79029F" w14:textId="4639B1B4" w:rsidR="00F3381A" w:rsidRPr="00BB559E" w:rsidRDefault="001C3DEA" w:rsidP="000C72A6">
      <w:pPr>
        <w:pStyle w:val="ListParagraph"/>
        <w:numPr>
          <w:ilvl w:val="0"/>
          <w:numId w:val="6"/>
        </w:numPr>
        <w:spacing w:line="360" w:lineRule="auto"/>
        <w:jc w:val="both"/>
        <w:rPr>
          <w:rFonts w:eastAsia="Arial" w:cs="Calibri"/>
          <w:lang w:val="en-GB"/>
          <w14:ligatures w14:val="none"/>
        </w:rPr>
      </w:pPr>
      <w:r w:rsidRPr="00BB559E">
        <w:rPr>
          <w:rFonts w:eastAsia="Arial" w:cs="Calibri"/>
          <w:lang w:val="en-GB"/>
          <w14:ligatures w14:val="none"/>
        </w:rPr>
        <w:t xml:space="preserve">The supplier shall declare all </w:t>
      </w:r>
      <w:r w:rsidRPr="00BB559E">
        <w:rPr>
          <w:rFonts w:eastAsia="Arial" w:cs="Calibri"/>
          <w:b/>
          <w:bCs/>
          <w:lang w:val="en-GB"/>
          <w14:ligatures w14:val="none"/>
        </w:rPr>
        <w:t>D(FA) substances</w:t>
      </w:r>
      <w:r w:rsidRPr="00BB559E">
        <w:rPr>
          <w:rFonts w:eastAsia="Arial" w:cs="Calibri"/>
          <w:lang w:val="en-GB"/>
          <w14:ligatures w14:val="none"/>
        </w:rPr>
        <w:t xml:space="preserve"> present in its scope of supply before freezing the design and be aware that D(FA) could be prohibited.</w:t>
      </w:r>
    </w:p>
    <w:p w14:paraId="7E0E7A57" w14:textId="622331F5" w:rsidR="001C3DEA" w:rsidRPr="00BB559E" w:rsidRDefault="00687019" w:rsidP="000C72A6">
      <w:pPr>
        <w:pStyle w:val="ListParagraph"/>
        <w:numPr>
          <w:ilvl w:val="0"/>
          <w:numId w:val="6"/>
        </w:numPr>
        <w:spacing w:line="360" w:lineRule="auto"/>
        <w:jc w:val="both"/>
        <w:rPr>
          <w:rFonts w:eastAsia="Arial" w:cs="Calibri"/>
          <w:lang w:val="en-GB"/>
          <w14:ligatures w14:val="none"/>
        </w:rPr>
      </w:pPr>
      <w:r w:rsidRPr="00BB559E">
        <w:rPr>
          <w:rFonts w:eastAsia="Arial" w:cs="Calibri"/>
          <w:lang w:val="en-GB"/>
          <w14:ligatures w14:val="none"/>
        </w:rPr>
        <w:t xml:space="preserve">If </w:t>
      </w:r>
      <w:r w:rsidR="00AD1C5A" w:rsidRPr="00BB559E">
        <w:rPr>
          <w:rFonts w:eastAsia="Arial" w:cs="Calibri"/>
          <w:lang w:val="en-GB"/>
          <w14:ligatures w14:val="none"/>
        </w:rPr>
        <w:t>the customer requests</w:t>
      </w:r>
      <w:r w:rsidRPr="00BB559E">
        <w:rPr>
          <w:rFonts w:eastAsia="Arial" w:cs="Calibri"/>
          <w:lang w:val="en-GB"/>
          <w14:ligatures w14:val="none"/>
        </w:rPr>
        <w:t>, t</w:t>
      </w:r>
      <w:r w:rsidR="001C3DEA" w:rsidRPr="00BB559E">
        <w:rPr>
          <w:rFonts w:eastAsia="Arial" w:cs="Calibri"/>
          <w:lang w:val="en-GB"/>
          <w14:ligatures w14:val="none"/>
        </w:rPr>
        <w:t xml:space="preserve">he supplier </w:t>
      </w:r>
      <w:r w:rsidR="004B6B62" w:rsidRPr="00BB559E">
        <w:rPr>
          <w:rFonts w:eastAsia="Arial" w:cs="Calibri"/>
          <w:lang w:val="en-GB"/>
          <w14:ligatures w14:val="none"/>
        </w:rPr>
        <w:t>must</w:t>
      </w:r>
      <w:r w:rsidRPr="00BB559E">
        <w:rPr>
          <w:rFonts w:eastAsia="Arial" w:cs="Calibri"/>
          <w:lang w:val="en-GB"/>
          <w14:ligatures w14:val="none"/>
        </w:rPr>
        <w:t xml:space="preserve"> </w:t>
      </w:r>
      <w:r w:rsidR="001C3DEA" w:rsidRPr="00BB559E">
        <w:rPr>
          <w:rFonts w:eastAsia="Arial" w:cs="Calibri"/>
          <w:lang w:val="en-GB"/>
          <w14:ligatures w14:val="none"/>
        </w:rPr>
        <w:t xml:space="preserve">declare </w:t>
      </w:r>
      <w:r w:rsidR="001C3DEA" w:rsidRPr="00BB559E">
        <w:rPr>
          <w:rFonts w:eastAsia="Arial" w:cs="Calibri"/>
          <w:b/>
          <w:bCs/>
          <w:lang w:val="en-GB"/>
          <w14:ligatures w14:val="none"/>
        </w:rPr>
        <w:t>D(FI) substances</w:t>
      </w:r>
      <w:r w:rsidR="001C3DEA" w:rsidRPr="00BB559E">
        <w:rPr>
          <w:rFonts w:eastAsia="Arial" w:cs="Calibri"/>
          <w:lang w:val="en-GB"/>
          <w14:ligatures w14:val="none"/>
        </w:rPr>
        <w:t xml:space="preserve"> with a relevant mass (above 0.1 % w/w)</w:t>
      </w:r>
      <w:r w:rsidR="00F3381A" w:rsidRPr="00BB559E">
        <w:rPr>
          <w:rFonts w:eastAsia="Arial" w:cs="Calibri"/>
          <w:lang w:val="en-GB"/>
          <w14:ligatures w14:val="none"/>
        </w:rPr>
        <w:t xml:space="preserve"> </w:t>
      </w:r>
      <w:r w:rsidR="001C3DEA" w:rsidRPr="00BB559E">
        <w:rPr>
          <w:rFonts w:eastAsia="Arial" w:cs="Calibri"/>
          <w:lang w:val="en-GB"/>
          <w14:ligatures w14:val="none"/>
        </w:rPr>
        <w:t>to the customer before delivery.</w:t>
      </w:r>
    </w:p>
    <w:sectPr w:rsidR="001C3DEA" w:rsidRPr="00BB559E" w:rsidSect="00917628">
      <w:headerReference w:type="even" r:id="rId48"/>
      <w:headerReference w:type="default" r:id="rId49"/>
      <w:footerReference w:type="default" r:id="rId5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5F2E" w14:textId="77777777" w:rsidR="00827A85" w:rsidRDefault="00827A85" w:rsidP="00F02D22">
      <w:r>
        <w:separator/>
      </w:r>
    </w:p>
  </w:endnote>
  <w:endnote w:type="continuationSeparator" w:id="0">
    <w:p w14:paraId="31F71BDA" w14:textId="77777777" w:rsidR="00827A85" w:rsidRDefault="00827A85" w:rsidP="00F02D22">
      <w:r>
        <w:continuationSeparator/>
      </w:r>
    </w:p>
  </w:endnote>
  <w:endnote w:type="continuationNotice" w:id="1">
    <w:p w14:paraId="077A3AC9" w14:textId="77777777" w:rsidR="00827A85" w:rsidRDefault="00827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198486"/>
      <w:docPartObj>
        <w:docPartGallery w:val="Page Numbers (Bottom of Page)"/>
        <w:docPartUnique/>
      </w:docPartObj>
    </w:sdtPr>
    <w:sdtEndPr>
      <w:rPr>
        <w:noProof/>
      </w:rPr>
    </w:sdtEndPr>
    <w:sdtContent>
      <w:p w14:paraId="563555FC" w14:textId="2015CA80" w:rsidR="00F02D22" w:rsidRDefault="00F02D22" w:rsidP="00F02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E143" w14:textId="77777777" w:rsidR="00827A85" w:rsidRDefault="00827A85" w:rsidP="00F02D22">
      <w:r>
        <w:separator/>
      </w:r>
    </w:p>
  </w:footnote>
  <w:footnote w:type="continuationSeparator" w:id="0">
    <w:p w14:paraId="79F35586" w14:textId="77777777" w:rsidR="00827A85" w:rsidRDefault="00827A85" w:rsidP="00F02D22">
      <w:r>
        <w:continuationSeparator/>
      </w:r>
    </w:p>
  </w:footnote>
  <w:footnote w:type="continuationNotice" w:id="1">
    <w:p w14:paraId="2C399C0B" w14:textId="77777777" w:rsidR="00827A85" w:rsidRDefault="00827A85"/>
  </w:footnote>
  <w:footnote w:id="2">
    <w:p w14:paraId="387B7A5F" w14:textId="4F7A7B89" w:rsidR="00F52191" w:rsidRPr="004B6B62" w:rsidRDefault="00F52191">
      <w:pPr>
        <w:pStyle w:val="FootnoteText"/>
        <w:rPr>
          <w:lang w:val="en-GB"/>
        </w:rPr>
      </w:pPr>
      <w:r w:rsidRPr="004B6B62">
        <w:rPr>
          <w:rStyle w:val="FootnoteReference"/>
          <w:lang w:val="en-GB"/>
        </w:rPr>
        <w:footnoteRef/>
      </w:r>
      <w:r w:rsidRPr="004B6B62">
        <w:rPr>
          <w:lang w:val="en-GB"/>
        </w:rPr>
        <w:t xml:space="preserve"> According to </w:t>
      </w:r>
      <w:r w:rsidR="002015C5" w:rsidRPr="004B6B62">
        <w:rPr>
          <w:lang w:val="en-GB"/>
        </w:rPr>
        <w:t xml:space="preserve">Article 3 (3) of the REACH regulation </w:t>
      </w:r>
      <w:r w:rsidRPr="004B6B62">
        <w:rPr>
          <w:lang w:val="en-GB"/>
        </w:rPr>
        <w:t>1907/2006.</w:t>
      </w:r>
    </w:p>
  </w:footnote>
  <w:footnote w:id="3">
    <w:p w14:paraId="188B7AC9" w14:textId="6D45259E" w:rsidR="00F52191" w:rsidRPr="00005E56" w:rsidRDefault="00F52191" w:rsidP="00F52191">
      <w:pPr>
        <w:pStyle w:val="FootnoteText"/>
        <w:jc w:val="both"/>
        <w:rPr>
          <w:lang w:val="fr-BE"/>
        </w:rPr>
      </w:pPr>
      <w:r w:rsidRPr="004B6B62">
        <w:rPr>
          <w:rStyle w:val="FootnoteReference"/>
          <w:lang w:val="en-GB"/>
        </w:rPr>
        <w:footnoteRef/>
      </w:r>
      <w:r w:rsidRPr="00005E56">
        <w:rPr>
          <w:lang w:val="fr-BE"/>
        </w:rPr>
        <w:t xml:space="preserve"> Court of Justice of the European Union - 10 September 2015 - </w:t>
      </w:r>
      <w:r w:rsidRPr="00005E56">
        <w:rPr>
          <w:i/>
          <w:iCs/>
          <w:lang w:val="fr-BE"/>
        </w:rPr>
        <w:t xml:space="preserve">Judgment in Case C-106/14 Fédération des entreprises du commerce et de la distribution (FCD) and Fédération des magasins de bricolage et de </w:t>
      </w:r>
      <w:r w:rsidR="002015C5" w:rsidRPr="00005E56">
        <w:rPr>
          <w:i/>
          <w:iCs/>
          <w:lang w:val="fr-BE"/>
        </w:rPr>
        <w:t>l’aménagement</w:t>
      </w:r>
      <w:r w:rsidRPr="00005E56">
        <w:rPr>
          <w:i/>
          <w:iCs/>
          <w:lang w:val="fr-BE"/>
        </w:rPr>
        <w:t xml:space="preserve"> de la maison (FMB) v Ministre de l'Écologie, du Développement durable et de l'Énergie</w:t>
      </w:r>
    </w:p>
  </w:footnote>
  <w:footnote w:id="4">
    <w:p w14:paraId="5E730FD4" w14:textId="2C7FAFC3" w:rsidR="00F52191" w:rsidRPr="004B6B62" w:rsidRDefault="00F52191">
      <w:pPr>
        <w:pStyle w:val="FootnoteText"/>
        <w:rPr>
          <w:lang w:val="en-GB"/>
        </w:rPr>
      </w:pPr>
      <w:r w:rsidRPr="004B6B62">
        <w:rPr>
          <w:rStyle w:val="FootnoteReference"/>
          <w:lang w:val="en-GB"/>
        </w:rPr>
        <w:footnoteRef/>
      </w:r>
      <w:r w:rsidRPr="004B6B62">
        <w:rPr>
          <w:lang w:val="en-GB"/>
        </w:rPr>
        <w:t xml:space="preserve"> According to </w:t>
      </w:r>
      <w:r w:rsidR="004B6B62" w:rsidRPr="004B6B62">
        <w:rPr>
          <w:lang w:val="en-GB"/>
        </w:rPr>
        <w:t xml:space="preserve">Article 3 (2) of the REACH regulation </w:t>
      </w:r>
      <w:r w:rsidRPr="004B6B62">
        <w:rPr>
          <w:lang w:val="en-GB"/>
        </w:rPr>
        <w:t>1907/2006.</w:t>
      </w:r>
    </w:p>
  </w:footnote>
  <w:footnote w:id="5">
    <w:p w14:paraId="5464C015" w14:textId="2BB81B6B" w:rsidR="00CC263B" w:rsidRPr="004B6B62" w:rsidRDefault="00CC263B" w:rsidP="00CC263B">
      <w:pPr>
        <w:pStyle w:val="FootnoteText"/>
        <w:rPr>
          <w:lang w:val="en-GB"/>
        </w:rPr>
      </w:pPr>
      <w:r w:rsidRPr="004B6B62">
        <w:rPr>
          <w:rStyle w:val="FootnoteReference"/>
          <w:lang w:val="en-GB"/>
        </w:rPr>
        <w:footnoteRef/>
      </w:r>
      <w:r w:rsidRPr="004B6B62">
        <w:rPr>
          <w:lang w:val="en-GB"/>
        </w:rPr>
        <w:t xml:space="preserve"> According to </w:t>
      </w:r>
      <w:r w:rsidR="004B6B62" w:rsidRPr="004B6B62">
        <w:rPr>
          <w:lang w:val="en-GB"/>
        </w:rPr>
        <w:t xml:space="preserve">Article 3 (1) of the REACH regulation </w:t>
      </w:r>
      <w:r w:rsidRPr="004B6B62">
        <w:rPr>
          <w:lang w:val="en-GB"/>
        </w:rPr>
        <w:t>1907/2006.</w:t>
      </w:r>
    </w:p>
  </w:footnote>
  <w:footnote w:id="6">
    <w:p w14:paraId="6FD45D8C" w14:textId="7F565B78" w:rsidR="00EC2819" w:rsidRPr="004B6B62" w:rsidRDefault="00EC2819">
      <w:pPr>
        <w:pStyle w:val="FootnoteText"/>
        <w:rPr>
          <w:lang w:val="en-GB"/>
        </w:rPr>
      </w:pPr>
      <w:r w:rsidRPr="004B6B62">
        <w:rPr>
          <w:rStyle w:val="FootnoteReference"/>
          <w:lang w:val="en-GB"/>
        </w:rPr>
        <w:footnoteRef/>
      </w:r>
      <w:r w:rsidRPr="004B6B62">
        <w:rPr>
          <w:lang w:val="en-GB"/>
        </w:rPr>
        <w:t xml:space="preserve"> </w:t>
      </w:r>
      <w:hyperlink r:id="rId1" w:history="1">
        <w:r w:rsidRPr="004B6B62">
          <w:rPr>
            <w:rStyle w:val="Hyperlink"/>
            <w:color w:val="008338"/>
            <w:lang w:val="en-GB"/>
          </w:rPr>
          <w:t>Regulation (EC) No 1272/2008 on Classification, Labelling and Packaging of substances and mixture</w:t>
        </w:r>
        <w:r w:rsidR="00B4596A" w:rsidRPr="004B6B62">
          <w:rPr>
            <w:rStyle w:val="Hyperlink"/>
            <w:color w:val="008338"/>
            <w:lang w:val="en-GB"/>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2762" w14:textId="19439345" w:rsidR="00EE3FB6" w:rsidRDefault="00EE3FB6">
    <w:pPr>
      <w:pStyle w:val="Header"/>
    </w:pPr>
    <w:r>
      <w:rPr>
        <w:noProof/>
      </w:rPr>
      <mc:AlternateContent>
        <mc:Choice Requires="wps">
          <w:drawing>
            <wp:anchor distT="0" distB="0" distL="0" distR="0" simplePos="0" relativeHeight="251658240" behindDoc="0" locked="0" layoutInCell="1" allowOverlap="1" wp14:anchorId="5075798F" wp14:editId="01940182">
              <wp:simplePos x="635" y="635"/>
              <wp:positionH relativeFrom="page">
                <wp:align>right</wp:align>
              </wp:positionH>
              <wp:positionV relativeFrom="page">
                <wp:align>top</wp:align>
              </wp:positionV>
              <wp:extent cx="1125220" cy="407670"/>
              <wp:effectExtent l="0" t="0" r="0" b="11430"/>
              <wp:wrapNone/>
              <wp:docPr id="811193332" name="Zone de texte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5220" cy="407670"/>
                      </a:xfrm>
                      <a:prstGeom prst="rect">
                        <a:avLst/>
                      </a:prstGeom>
                      <a:noFill/>
                      <a:ln>
                        <a:noFill/>
                      </a:ln>
                    </wps:spPr>
                    <wps:txbx>
                      <w:txbxContent>
                        <w:p w14:paraId="23A39103" w14:textId="54FEF2A9" w:rsidR="00EE3FB6" w:rsidRPr="00EE3FB6" w:rsidRDefault="00EE3FB6" w:rsidP="00EE3FB6">
                          <w:pPr>
                            <w:rPr>
                              <w:rFonts w:ascii="Calibri" w:eastAsia="Calibri" w:hAnsi="Calibri" w:cs="Calibri"/>
                              <w:noProof/>
                              <w:color w:val="71BF44"/>
                              <w:sz w:val="28"/>
                              <w:szCs w:val="28"/>
                            </w:rPr>
                          </w:pPr>
                          <w:r w:rsidRPr="00EE3FB6">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75798F" id="_x0000_t202" coordsize="21600,21600" o:spt="202" path="m,l,21600r21600,l21600,xe">
              <v:stroke joinstyle="miter"/>
              <v:path gradientshapeok="t" o:connecttype="rect"/>
            </v:shapetype>
            <v:shape id="Zone de texte 2" o:spid="_x0000_s1026" type="#_x0000_t202" alt="RESTRICTED" style="position:absolute;margin-left:37.4pt;margin-top:0;width:88.6pt;height:32.1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" filled="f" stroked="f">
              <v:textbox style="mso-fit-shape-to-text:t" inset="0,15pt,20pt,0">
                <w:txbxContent>
                  <w:p w14:paraId="23A39103" w14:textId="54FEF2A9" w:rsidR="00EE3FB6" w:rsidRPr="00EE3FB6" w:rsidRDefault="00EE3FB6" w:rsidP="00EE3FB6">
                    <w:pPr>
                      <w:rPr>
                        <w:rFonts w:ascii="Calibri" w:eastAsia="Calibri" w:hAnsi="Calibri" w:cs="Calibri"/>
                        <w:noProof/>
                        <w:color w:val="71BF44"/>
                        <w:sz w:val="28"/>
                        <w:szCs w:val="28"/>
                      </w:rPr>
                    </w:pPr>
                    <w:r w:rsidRPr="00EE3FB6">
                      <w:rPr>
                        <w:rFonts w:ascii="Calibri" w:eastAsia="Calibri" w:hAnsi="Calibri" w:cs="Calibri"/>
                        <w:noProof/>
                        <w:color w:val="71BF44"/>
                        <w:sz w:val="28"/>
                        <w:szCs w:val="2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AE1E" w14:textId="056AF436" w:rsidR="00917628" w:rsidRDefault="00917628" w:rsidP="00917628">
    <w:pPr>
      <w:pStyle w:val="Header"/>
      <w:jc w:val="center"/>
    </w:pPr>
    <w:r>
      <w:rPr>
        <w:noProof/>
      </w:rPr>
      <w:drawing>
        <wp:inline distT="0" distB="0" distL="0" distR="0" wp14:anchorId="61CF7F25" wp14:editId="7F95BD39">
          <wp:extent cx="1381125" cy="538033"/>
          <wp:effectExtent l="0" t="0" r="0" b="0"/>
          <wp:docPr id="412221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300" cy="5396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F60"/>
    <w:multiLevelType w:val="hybridMultilevel"/>
    <w:tmpl w:val="A21819A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15:restartNumberingAfterBreak="0">
    <w:nsid w:val="01E13503"/>
    <w:multiLevelType w:val="hybridMultilevel"/>
    <w:tmpl w:val="D7F0C7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9D3368"/>
    <w:multiLevelType w:val="hybridMultilevel"/>
    <w:tmpl w:val="5D9224D8"/>
    <w:lvl w:ilvl="0" w:tplc="61D21816">
      <w:numFmt w:val="bullet"/>
      <w:lvlText w:val="-"/>
      <w:lvlJc w:val="left"/>
      <w:pPr>
        <w:ind w:left="720" w:hanging="360"/>
      </w:pPr>
      <w:rPr>
        <w:rFonts w:ascii="Calibri" w:eastAsia="Arial"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D11EBF"/>
    <w:multiLevelType w:val="hybridMultilevel"/>
    <w:tmpl w:val="0792C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C2E9A"/>
    <w:multiLevelType w:val="hybridMultilevel"/>
    <w:tmpl w:val="137AAF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A4D40E8"/>
    <w:multiLevelType w:val="hybridMultilevel"/>
    <w:tmpl w:val="788E53CA"/>
    <w:lvl w:ilvl="0" w:tplc="E188E20C">
      <w:numFmt w:val="bullet"/>
      <w:lvlText w:val="-"/>
      <w:lvlJc w:val="left"/>
      <w:pPr>
        <w:ind w:left="720" w:hanging="360"/>
      </w:pPr>
      <w:rPr>
        <w:rFonts w:ascii="Aptos" w:eastAsia="Arial" w:hAnsi="Aptos"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B943ECF"/>
    <w:multiLevelType w:val="hybridMultilevel"/>
    <w:tmpl w:val="A394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B33A0"/>
    <w:multiLevelType w:val="hybridMultilevel"/>
    <w:tmpl w:val="0792C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37332"/>
    <w:multiLevelType w:val="hybridMultilevel"/>
    <w:tmpl w:val="9FC84A80"/>
    <w:lvl w:ilvl="0" w:tplc="A2A41A92">
      <w:numFmt w:val="bullet"/>
      <w:lvlText w:val="-"/>
      <w:lvlJc w:val="left"/>
      <w:pPr>
        <w:ind w:left="720" w:hanging="360"/>
      </w:pPr>
      <w:rPr>
        <w:rFonts w:ascii="Aptos" w:eastAsia="Arial" w:hAnsi="Aptos"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6B82467"/>
    <w:multiLevelType w:val="hybridMultilevel"/>
    <w:tmpl w:val="860848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EE4B6B"/>
    <w:multiLevelType w:val="hybridMultilevel"/>
    <w:tmpl w:val="081ECA10"/>
    <w:lvl w:ilvl="0" w:tplc="A2C60A26">
      <w:start w:val="40"/>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D73B17"/>
    <w:multiLevelType w:val="multilevel"/>
    <w:tmpl w:val="65D8B0A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FF4304"/>
    <w:multiLevelType w:val="hybridMultilevel"/>
    <w:tmpl w:val="788E77D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FD763B3"/>
    <w:multiLevelType w:val="hybridMultilevel"/>
    <w:tmpl w:val="69D4725A"/>
    <w:lvl w:ilvl="0" w:tplc="4308F4EA">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2EA2219"/>
    <w:multiLevelType w:val="hybridMultilevel"/>
    <w:tmpl w:val="00982D0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FA7657"/>
    <w:multiLevelType w:val="hybridMultilevel"/>
    <w:tmpl w:val="6C0CA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A6153F"/>
    <w:multiLevelType w:val="hybridMultilevel"/>
    <w:tmpl w:val="0C10012C"/>
    <w:lvl w:ilvl="0" w:tplc="A2C60A26">
      <w:start w:val="40"/>
      <w:numFmt w:val="bullet"/>
      <w:lvlText w:val="•"/>
      <w:lvlJc w:val="left"/>
      <w:pPr>
        <w:ind w:left="720" w:hanging="72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F354FDE"/>
    <w:multiLevelType w:val="hybridMultilevel"/>
    <w:tmpl w:val="65A0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029D1"/>
    <w:multiLevelType w:val="hybridMultilevel"/>
    <w:tmpl w:val="65D04B1E"/>
    <w:lvl w:ilvl="0" w:tplc="DE62D93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845426C"/>
    <w:multiLevelType w:val="hybridMultilevel"/>
    <w:tmpl w:val="DE26FC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AF145E3"/>
    <w:multiLevelType w:val="hybridMultilevel"/>
    <w:tmpl w:val="30AA5A5A"/>
    <w:lvl w:ilvl="0" w:tplc="CDA606CC">
      <w:numFmt w:val="bullet"/>
      <w:lvlText w:val="-"/>
      <w:lvlJc w:val="left"/>
      <w:pPr>
        <w:ind w:left="720" w:hanging="360"/>
      </w:pPr>
      <w:rPr>
        <w:rFonts w:ascii="Calibri" w:eastAsia="Arial"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FEA0EA4"/>
    <w:multiLevelType w:val="hybridMultilevel"/>
    <w:tmpl w:val="DCFC552E"/>
    <w:lvl w:ilvl="0" w:tplc="A2C60A26">
      <w:start w:val="40"/>
      <w:numFmt w:val="bullet"/>
      <w:lvlText w:val="•"/>
      <w:lvlJc w:val="left"/>
      <w:pPr>
        <w:ind w:left="720" w:hanging="72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458767890">
    <w:abstractNumId w:val="7"/>
  </w:num>
  <w:num w:numId="2" w16cid:durableId="416293737">
    <w:abstractNumId w:val="17"/>
  </w:num>
  <w:num w:numId="3" w16cid:durableId="1439713785">
    <w:abstractNumId w:val="11"/>
  </w:num>
  <w:num w:numId="4" w16cid:durableId="2087724115">
    <w:abstractNumId w:val="6"/>
  </w:num>
  <w:num w:numId="5" w16cid:durableId="1136217559">
    <w:abstractNumId w:val="3"/>
  </w:num>
  <w:num w:numId="6" w16cid:durableId="1539584448">
    <w:abstractNumId w:val="2"/>
  </w:num>
  <w:num w:numId="7" w16cid:durableId="50200720">
    <w:abstractNumId w:val="20"/>
  </w:num>
  <w:num w:numId="8" w16cid:durableId="1149439597">
    <w:abstractNumId w:val="13"/>
  </w:num>
  <w:num w:numId="9" w16cid:durableId="518550044">
    <w:abstractNumId w:val="18"/>
  </w:num>
  <w:num w:numId="10" w16cid:durableId="1303582140">
    <w:abstractNumId w:val="14"/>
  </w:num>
  <w:num w:numId="11" w16cid:durableId="1508787551">
    <w:abstractNumId w:val="0"/>
  </w:num>
  <w:num w:numId="12" w16cid:durableId="1106266204">
    <w:abstractNumId w:val="9"/>
  </w:num>
  <w:num w:numId="13" w16cid:durableId="1402828414">
    <w:abstractNumId w:val="1"/>
  </w:num>
  <w:num w:numId="14" w16cid:durableId="1657682025">
    <w:abstractNumId w:val="16"/>
  </w:num>
  <w:num w:numId="15" w16cid:durableId="1581595839">
    <w:abstractNumId w:val="10"/>
  </w:num>
  <w:num w:numId="16" w16cid:durableId="622075702">
    <w:abstractNumId w:val="21"/>
  </w:num>
  <w:num w:numId="17" w16cid:durableId="303512231">
    <w:abstractNumId w:val="15"/>
  </w:num>
  <w:num w:numId="18" w16cid:durableId="923537298">
    <w:abstractNumId w:val="19"/>
  </w:num>
  <w:num w:numId="19" w16cid:durableId="1004018253">
    <w:abstractNumId w:val="12"/>
  </w:num>
  <w:num w:numId="20" w16cid:durableId="1925994602">
    <w:abstractNumId w:val="4"/>
  </w:num>
  <w:num w:numId="21" w16cid:durableId="1232543300">
    <w:abstractNumId w:val="8"/>
  </w:num>
  <w:num w:numId="22" w16cid:durableId="188201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B5"/>
    <w:rsid w:val="00005E56"/>
    <w:rsid w:val="00016738"/>
    <w:rsid w:val="000459C9"/>
    <w:rsid w:val="000A46E6"/>
    <w:rsid w:val="000B3DAF"/>
    <w:rsid w:val="000B64D0"/>
    <w:rsid w:val="000C2786"/>
    <w:rsid w:val="000C72A6"/>
    <w:rsid w:val="000E0F95"/>
    <w:rsid w:val="0013158B"/>
    <w:rsid w:val="0015246A"/>
    <w:rsid w:val="00155DF0"/>
    <w:rsid w:val="00177643"/>
    <w:rsid w:val="001922A9"/>
    <w:rsid w:val="00197D0B"/>
    <w:rsid w:val="001A1475"/>
    <w:rsid w:val="001A5767"/>
    <w:rsid w:val="001B3808"/>
    <w:rsid w:val="001C3DEA"/>
    <w:rsid w:val="001D0D0D"/>
    <w:rsid w:val="001F7B23"/>
    <w:rsid w:val="002015C5"/>
    <w:rsid w:val="00204A89"/>
    <w:rsid w:val="00216713"/>
    <w:rsid w:val="0025573B"/>
    <w:rsid w:val="0029242A"/>
    <w:rsid w:val="002A5D17"/>
    <w:rsid w:val="002A7836"/>
    <w:rsid w:val="002F3C41"/>
    <w:rsid w:val="00302001"/>
    <w:rsid w:val="0030396C"/>
    <w:rsid w:val="00305E87"/>
    <w:rsid w:val="0031260E"/>
    <w:rsid w:val="00340803"/>
    <w:rsid w:val="00344040"/>
    <w:rsid w:val="00351724"/>
    <w:rsid w:val="00365F0A"/>
    <w:rsid w:val="00385DBB"/>
    <w:rsid w:val="003860FF"/>
    <w:rsid w:val="00390040"/>
    <w:rsid w:val="00391ACE"/>
    <w:rsid w:val="003C23AF"/>
    <w:rsid w:val="003C5812"/>
    <w:rsid w:val="003F21F9"/>
    <w:rsid w:val="00435794"/>
    <w:rsid w:val="00440BB6"/>
    <w:rsid w:val="00440F69"/>
    <w:rsid w:val="0045174B"/>
    <w:rsid w:val="00483A20"/>
    <w:rsid w:val="004A268E"/>
    <w:rsid w:val="004B3287"/>
    <w:rsid w:val="004B6B62"/>
    <w:rsid w:val="004D3843"/>
    <w:rsid w:val="004E2B59"/>
    <w:rsid w:val="00513E14"/>
    <w:rsid w:val="00516E70"/>
    <w:rsid w:val="00541EF8"/>
    <w:rsid w:val="00546D6B"/>
    <w:rsid w:val="00573E35"/>
    <w:rsid w:val="0058250C"/>
    <w:rsid w:val="00590692"/>
    <w:rsid w:val="005975E9"/>
    <w:rsid w:val="005A736F"/>
    <w:rsid w:val="005B382A"/>
    <w:rsid w:val="005D7311"/>
    <w:rsid w:val="005E2770"/>
    <w:rsid w:val="005F3F4B"/>
    <w:rsid w:val="005F7115"/>
    <w:rsid w:val="006207BC"/>
    <w:rsid w:val="0064417A"/>
    <w:rsid w:val="0065293A"/>
    <w:rsid w:val="0067071D"/>
    <w:rsid w:val="00687019"/>
    <w:rsid w:val="00695D17"/>
    <w:rsid w:val="00697928"/>
    <w:rsid w:val="006C4612"/>
    <w:rsid w:val="00720A26"/>
    <w:rsid w:val="00736977"/>
    <w:rsid w:val="00753A23"/>
    <w:rsid w:val="00783247"/>
    <w:rsid w:val="007A7AAC"/>
    <w:rsid w:val="007D796F"/>
    <w:rsid w:val="007E23A0"/>
    <w:rsid w:val="007E4590"/>
    <w:rsid w:val="007E4909"/>
    <w:rsid w:val="00814256"/>
    <w:rsid w:val="00825659"/>
    <w:rsid w:val="00827A85"/>
    <w:rsid w:val="00851DA2"/>
    <w:rsid w:val="008D64AF"/>
    <w:rsid w:val="0091060F"/>
    <w:rsid w:val="00917628"/>
    <w:rsid w:val="00926AFF"/>
    <w:rsid w:val="00937F4B"/>
    <w:rsid w:val="009443D5"/>
    <w:rsid w:val="00956277"/>
    <w:rsid w:val="009604FD"/>
    <w:rsid w:val="00973FD3"/>
    <w:rsid w:val="009920BD"/>
    <w:rsid w:val="00993607"/>
    <w:rsid w:val="00993B2F"/>
    <w:rsid w:val="00A22F1B"/>
    <w:rsid w:val="00A248C8"/>
    <w:rsid w:val="00A34065"/>
    <w:rsid w:val="00A35233"/>
    <w:rsid w:val="00A97ADC"/>
    <w:rsid w:val="00AB6956"/>
    <w:rsid w:val="00AC421B"/>
    <w:rsid w:val="00AD1C5A"/>
    <w:rsid w:val="00AD43B5"/>
    <w:rsid w:val="00B046B3"/>
    <w:rsid w:val="00B32020"/>
    <w:rsid w:val="00B4596A"/>
    <w:rsid w:val="00B65EFA"/>
    <w:rsid w:val="00B85D92"/>
    <w:rsid w:val="00BA09A0"/>
    <w:rsid w:val="00BA5D04"/>
    <w:rsid w:val="00BB559E"/>
    <w:rsid w:val="00BB5D1B"/>
    <w:rsid w:val="00BC2C87"/>
    <w:rsid w:val="00BD142A"/>
    <w:rsid w:val="00BD1D0F"/>
    <w:rsid w:val="00C13C7B"/>
    <w:rsid w:val="00C171E0"/>
    <w:rsid w:val="00C80CCF"/>
    <w:rsid w:val="00C8352F"/>
    <w:rsid w:val="00CC1CA6"/>
    <w:rsid w:val="00CC263B"/>
    <w:rsid w:val="00CC6231"/>
    <w:rsid w:val="00D04F90"/>
    <w:rsid w:val="00D07573"/>
    <w:rsid w:val="00D271FB"/>
    <w:rsid w:val="00D31D0B"/>
    <w:rsid w:val="00D32143"/>
    <w:rsid w:val="00D54470"/>
    <w:rsid w:val="00D612F4"/>
    <w:rsid w:val="00D709EA"/>
    <w:rsid w:val="00D770F0"/>
    <w:rsid w:val="00D77C68"/>
    <w:rsid w:val="00D81A33"/>
    <w:rsid w:val="00DA3F55"/>
    <w:rsid w:val="00DA6A26"/>
    <w:rsid w:val="00DB3A74"/>
    <w:rsid w:val="00DD06E7"/>
    <w:rsid w:val="00DE14C5"/>
    <w:rsid w:val="00DE50AD"/>
    <w:rsid w:val="00E20AD0"/>
    <w:rsid w:val="00E70E17"/>
    <w:rsid w:val="00E743E5"/>
    <w:rsid w:val="00E776CE"/>
    <w:rsid w:val="00E94423"/>
    <w:rsid w:val="00EA1BA3"/>
    <w:rsid w:val="00EB7B47"/>
    <w:rsid w:val="00EC2819"/>
    <w:rsid w:val="00EC4327"/>
    <w:rsid w:val="00ED4C14"/>
    <w:rsid w:val="00ED7FA0"/>
    <w:rsid w:val="00EE3FB6"/>
    <w:rsid w:val="00EE7359"/>
    <w:rsid w:val="00EF681B"/>
    <w:rsid w:val="00EF6B72"/>
    <w:rsid w:val="00F02D22"/>
    <w:rsid w:val="00F12AAE"/>
    <w:rsid w:val="00F13A3B"/>
    <w:rsid w:val="00F15456"/>
    <w:rsid w:val="00F3381A"/>
    <w:rsid w:val="00F362D0"/>
    <w:rsid w:val="00F44980"/>
    <w:rsid w:val="00F52191"/>
    <w:rsid w:val="00F72FAC"/>
    <w:rsid w:val="00F86689"/>
    <w:rsid w:val="00F87A86"/>
    <w:rsid w:val="00F91C6F"/>
    <w:rsid w:val="00F94F30"/>
    <w:rsid w:val="00F97011"/>
    <w:rsid w:val="00FA31FB"/>
    <w:rsid w:val="00FD4514"/>
    <w:rsid w:val="00FD6D20"/>
    <w:rsid w:val="00FF3A1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3847A"/>
  <w15:chartTrackingRefBased/>
  <w15:docId w15:val="{CCCE3651-99C0-4C02-A191-172A6793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B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D4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3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3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3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3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3B5"/>
    <w:rPr>
      <w:rFonts w:eastAsiaTheme="majorEastAsia" w:cstheme="majorBidi"/>
      <w:color w:val="272727" w:themeColor="text1" w:themeTint="D8"/>
    </w:rPr>
  </w:style>
  <w:style w:type="paragraph" w:styleId="Title">
    <w:name w:val="Title"/>
    <w:basedOn w:val="Normal"/>
    <w:next w:val="Normal"/>
    <w:link w:val="TitleChar"/>
    <w:uiPriority w:val="10"/>
    <w:qFormat/>
    <w:rsid w:val="00AD4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3B5"/>
    <w:pPr>
      <w:spacing w:before="160"/>
      <w:jc w:val="center"/>
    </w:pPr>
    <w:rPr>
      <w:i/>
      <w:iCs/>
      <w:color w:val="404040" w:themeColor="text1" w:themeTint="BF"/>
    </w:rPr>
  </w:style>
  <w:style w:type="character" w:customStyle="1" w:styleId="QuoteChar">
    <w:name w:val="Quote Char"/>
    <w:basedOn w:val="DefaultParagraphFont"/>
    <w:link w:val="Quote"/>
    <w:uiPriority w:val="29"/>
    <w:rsid w:val="00AD43B5"/>
    <w:rPr>
      <w:i/>
      <w:iCs/>
      <w:color w:val="404040" w:themeColor="text1" w:themeTint="BF"/>
    </w:rPr>
  </w:style>
  <w:style w:type="paragraph" w:styleId="ListParagraph">
    <w:name w:val="List Paragraph"/>
    <w:basedOn w:val="Normal"/>
    <w:uiPriority w:val="34"/>
    <w:qFormat/>
    <w:rsid w:val="00AD43B5"/>
    <w:pPr>
      <w:ind w:left="720"/>
      <w:contextualSpacing/>
    </w:pPr>
  </w:style>
  <w:style w:type="character" w:styleId="IntenseEmphasis">
    <w:name w:val="Intense Emphasis"/>
    <w:basedOn w:val="DefaultParagraphFont"/>
    <w:uiPriority w:val="21"/>
    <w:qFormat/>
    <w:rsid w:val="00AD43B5"/>
    <w:rPr>
      <w:i/>
      <w:iCs/>
      <w:color w:val="0F4761" w:themeColor="accent1" w:themeShade="BF"/>
    </w:rPr>
  </w:style>
  <w:style w:type="paragraph" w:styleId="IntenseQuote">
    <w:name w:val="Intense Quote"/>
    <w:basedOn w:val="Normal"/>
    <w:next w:val="Normal"/>
    <w:link w:val="IntenseQuoteChar"/>
    <w:uiPriority w:val="30"/>
    <w:qFormat/>
    <w:rsid w:val="00AD4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3B5"/>
    <w:rPr>
      <w:i/>
      <w:iCs/>
      <w:color w:val="0F4761" w:themeColor="accent1" w:themeShade="BF"/>
    </w:rPr>
  </w:style>
  <w:style w:type="character" w:styleId="IntenseReference">
    <w:name w:val="Intense Reference"/>
    <w:basedOn w:val="DefaultParagraphFont"/>
    <w:uiPriority w:val="32"/>
    <w:qFormat/>
    <w:rsid w:val="00AD43B5"/>
    <w:rPr>
      <w:b/>
      <w:bCs/>
      <w:smallCaps/>
      <w:color w:val="0F4761" w:themeColor="accent1" w:themeShade="BF"/>
      <w:spacing w:val="5"/>
    </w:rPr>
  </w:style>
  <w:style w:type="character" w:styleId="CommentReference">
    <w:name w:val="annotation reference"/>
    <w:semiHidden/>
    <w:rsid w:val="001C3DEA"/>
    <w:rPr>
      <w:sz w:val="16"/>
      <w:szCs w:val="16"/>
    </w:rPr>
  </w:style>
  <w:style w:type="paragraph" w:styleId="CommentText">
    <w:name w:val="annotation text"/>
    <w:basedOn w:val="Normal"/>
    <w:link w:val="CommentTextChar"/>
    <w:semiHidden/>
    <w:rsid w:val="001C3DEA"/>
    <w:pPr>
      <w:spacing w:before="120"/>
      <w:jc w:val="both"/>
    </w:pPr>
    <w:rPr>
      <w:rFonts w:ascii="Times New Roman" w:eastAsia="Times New Roman" w:hAnsi="Times New Roman" w:cs="Times New Roman"/>
      <w:sz w:val="20"/>
      <w:szCs w:val="20"/>
      <w:lang w:val="en-GB" w:eastAsia="fr-FR"/>
      <w14:ligatures w14:val="none"/>
    </w:rPr>
  </w:style>
  <w:style w:type="character" w:customStyle="1" w:styleId="CommentTextChar">
    <w:name w:val="Comment Text Char"/>
    <w:basedOn w:val="DefaultParagraphFont"/>
    <w:link w:val="CommentText"/>
    <w:semiHidden/>
    <w:rsid w:val="001C3DEA"/>
    <w:rPr>
      <w:rFonts w:ascii="Times New Roman" w:eastAsia="Times New Roman" w:hAnsi="Times New Roman" w:cs="Times New Roman"/>
      <w:kern w:val="0"/>
      <w:sz w:val="20"/>
      <w:szCs w:val="20"/>
      <w:lang w:val="en-GB" w:eastAsia="fr-FR"/>
      <w14:ligatures w14:val="none"/>
    </w:rPr>
  </w:style>
  <w:style w:type="character" w:styleId="Hyperlink">
    <w:name w:val="Hyperlink"/>
    <w:basedOn w:val="DefaultParagraphFont"/>
    <w:uiPriority w:val="99"/>
    <w:unhideWhenUsed/>
    <w:rsid w:val="001C3DEA"/>
    <w:rPr>
      <w:color w:val="0000FF"/>
      <w:u w:val="single"/>
    </w:rPr>
  </w:style>
  <w:style w:type="character" w:styleId="UnresolvedMention">
    <w:name w:val="Unresolved Mention"/>
    <w:basedOn w:val="DefaultParagraphFont"/>
    <w:uiPriority w:val="99"/>
    <w:semiHidden/>
    <w:unhideWhenUsed/>
    <w:rsid w:val="00F02D22"/>
    <w:rPr>
      <w:color w:val="605E5C"/>
      <w:shd w:val="clear" w:color="auto" w:fill="E1DFDD"/>
    </w:rPr>
  </w:style>
  <w:style w:type="paragraph" w:styleId="Header">
    <w:name w:val="header"/>
    <w:basedOn w:val="Normal"/>
    <w:link w:val="HeaderChar"/>
    <w:uiPriority w:val="99"/>
    <w:unhideWhenUsed/>
    <w:rsid w:val="00F02D22"/>
    <w:pPr>
      <w:tabs>
        <w:tab w:val="center" w:pos="4513"/>
        <w:tab w:val="right" w:pos="9026"/>
      </w:tabs>
    </w:pPr>
  </w:style>
  <w:style w:type="character" w:customStyle="1" w:styleId="HeaderChar">
    <w:name w:val="Header Char"/>
    <w:basedOn w:val="DefaultParagraphFont"/>
    <w:link w:val="Header"/>
    <w:uiPriority w:val="99"/>
    <w:rsid w:val="00F02D22"/>
    <w:rPr>
      <w:rFonts w:ascii="Aptos" w:hAnsi="Aptos" w:cs="Aptos"/>
      <w:kern w:val="0"/>
    </w:rPr>
  </w:style>
  <w:style w:type="paragraph" w:styleId="Footer">
    <w:name w:val="footer"/>
    <w:basedOn w:val="Normal"/>
    <w:link w:val="FooterChar"/>
    <w:uiPriority w:val="99"/>
    <w:unhideWhenUsed/>
    <w:rsid w:val="00F02D22"/>
    <w:pPr>
      <w:tabs>
        <w:tab w:val="center" w:pos="4513"/>
        <w:tab w:val="right" w:pos="9026"/>
      </w:tabs>
    </w:pPr>
  </w:style>
  <w:style w:type="character" w:customStyle="1" w:styleId="FooterChar">
    <w:name w:val="Footer Char"/>
    <w:basedOn w:val="DefaultParagraphFont"/>
    <w:link w:val="Footer"/>
    <w:uiPriority w:val="99"/>
    <w:rsid w:val="00F02D22"/>
    <w:rPr>
      <w:rFonts w:ascii="Aptos" w:hAnsi="Aptos" w:cs="Aptos"/>
      <w:kern w:val="0"/>
    </w:rPr>
  </w:style>
  <w:style w:type="paragraph" w:styleId="CommentSubject">
    <w:name w:val="annotation subject"/>
    <w:basedOn w:val="CommentText"/>
    <w:next w:val="CommentText"/>
    <w:link w:val="CommentSubjectChar"/>
    <w:uiPriority w:val="99"/>
    <w:semiHidden/>
    <w:unhideWhenUsed/>
    <w:rsid w:val="00302001"/>
    <w:pPr>
      <w:spacing w:before="0"/>
      <w:jc w:val="left"/>
    </w:pPr>
    <w:rPr>
      <w:rFonts w:ascii="Aptos" w:eastAsiaTheme="minorHAnsi" w:hAnsi="Aptos" w:cs="Aptos"/>
      <w:b/>
      <w:bCs/>
      <w:lang w:eastAsia="en-US"/>
      <w14:ligatures w14:val="standardContextual"/>
    </w:rPr>
  </w:style>
  <w:style w:type="character" w:customStyle="1" w:styleId="CommentSubjectChar">
    <w:name w:val="Comment Subject Char"/>
    <w:basedOn w:val="CommentTextChar"/>
    <w:link w:val="CommentSubject"/>
    <w:uiPriority w:val="99"/>
    <w:semiHidden/>
    <w:rsid w:val="00302001"/>
    <w:rPr>
      <w:rFonts w:ascii="Aptos" w:eastAsia="Times New Roman" w:hAnsi="Aptos" w:cs="Aptos"/>
      <w:b/>
      <w:bCs/>
      <w:kern w:val="0"/>
      <w:sz w:val="20"/>
      <w:szCs w:val="20"/>
      <w:lang w:val="en-GB" w:eastAsia="fr-FR"/>
      <w14:ligatures w14:val="none"/>
    </w:rPr>
  </w:style>
  <w:style w:type="paragraph" w:styleId="BalloonText">
    <w:name w:val="Balloon Text"/>
    <w:basedOn w:val="Normal"/>
    <w:link w:val="BalloonTextChar"/>
    <w:uiPriority w:val="99"/>
    <w:semiHidden/>
    <w:unhideWhenUsed/>
    <w:rsid w:val="00B85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92"/>
    <w:rPr>
      <w:rFonts w:ascii="Segoe UI" w:hAnsi="Segoe UI" w:cs="Segoe UI"/>
      <w:kern w:val="0"/>
      <w:sz w:val="18"/>
      <w:szCs w:val="18"/>
    </w:rPr>
  </w:style>
  <w:style w:type="paragraph" w:styleId="FootnoteText">
    <w:name w:val="footnote text"/>
    <w:basedOn w:val="Normal"/>
    <w:link w:val="FootnoteTextChar"/>
    <w:uiPriority w:val="99"/>
    <w:semiHidden/>
    <w:unhideWhenUsed/>
    <w:rsid w:val="00F52191"/>
    <w:rPr>
      <w:sz w:val="20"/>
      <w:szCs w:val="20"/>
    </w:rPr>
  </w:style>
  <w:style w:type="character" w:customStyle="1" w:styleId="FootnoteTextChar">
    <w:name w:val="Footnote Text Char"/>
    <w:basedOn w:val="DefaultParagraphFont"/>
    <w:link w:val="FootnoteText"/>
    <w:uiPriority w:val="99"/>
    <w:semiHidden/>
    <w:rsid w:val="00F52191"/>
    <w:rPr>
      <w:rFonts w:ascii="Aptos" w:hAnsi="Aptos" w:cs="Aptos"/>
      <w:kern w:val="0"/>
      <w:sz w:val="20"/>
      <w:szCs w:val="20"/>
    </w:rPr>
  </w:style>
  <w:style w:type="character" w:styleId="FootnoteReference">
    <w:name w:val="footnote reference"/>
    <w:basedOn w:val="DefaultParagraphFont"/>
    <w:uiPriority w:val="99"/>
    <w:semiHidden/>
    <w:unhideWhenUsed/>
    <w:rsid w:val="00F52191"/>
    <w:rPr>
      <w:vertAlign w:val="superscript"/>
    </w:rPr>
  </w:style>
  <w:style w:type="character" w:styleId="FollowedHyperlink">
    <w:name w:val="FollowedHyperlink"/>
    <w:basedOn w:val="DefaultParagraphFont"/>
    <w:uiPriority w:val="99"/>
    <w:semiHidden/>
    <w:unhideWhenUsed/>
    <w:rsid w:val="00F52191"/>
    <w:rPr>
      <w:color w:val="96607D" w:themeColor="followedHyperlink"/>
      <w:u w:val="single"/>
    </w:rPr>
  </w:style>
  <w:style w:type="paragraph" w:styleId="Revision">
    <w:name w:val="Revision"/>
    <w:hidden/>
    <w:uiPriority w:val="99"/>
    <w:semiHidden/>
    <w:rsid w:val="00516E70"/>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fe.org/committee/sustainable-transport-committee-stc/" TargetMode="External"/><Relationship Id="rId18" Type="http://schemas.openxmlformats.org/officeDocument/2006/relationships/hyperlink" Target="https://eur-lex.europa.eu/eli/reg/2024/590/oj" TargetMode="External"/><Relationship Id="rId26" Type="http://schemas.openxmlformats.org/officeDocument/2006/relationships/hyperlink" Target="https://www.dcceew.gov.au/environment/protection/ozone/legislation" TargetMode="External"/><Relationship Id="rId39" Type="http://schemas.openxmlformats.org/officeDocument/2006/relationships/hyperlink" Target="https://www.ecfr.gov/current/title-40/chapter-I/subchapter-R/part-705" TargetMode="External"/><Relationship Id="rId21" Type="http://schemas.openxmlformats.org/officeDocument/2006/relationships/hyperlink" Target="https://eur-lex.europa.eu/legal-content/EN/TXT/?uri=CELEX%3A32015L0863" TargetMode="External"/><Relationship Id="rId34" Type="http://schemas.openxmlformats.org/officeDocument/2006/relationships/hyperlink" Target="https://www.gov.uk/guidance/rohs-compliance-and-guidance" TargetMode="External"/><Relationship Id="rId42" Type="http://schemas.openxmlformats.org/officeDocument/2006/relationships/hyperlink" Target="https://www.ecfr.gov/current/title-40/chapter-I/subchapter-J/part-372" TargetMode="External"/><Relationship Id="rId47" Type="http://schemas.openxmlformats.org/officeDocument/2006/relationships/hyperlink" Target="https://www.unife.org/activities/environment-and-sustainability/material-and-substance-declaration-template/"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eli/reg/2008/1272/oj" TargetMode="External"/><Relationship Id="rId29" Type="http://schemas.openxmlformats.org/officeDocument/2006/relationships/hyperlink" Target="https://laws-lois.justice.gc.ca/eng/regulations/SOR-2025-270/index.html" TargetMode="External"/><Relationship Id="rId11" Type="http://schemas.openxmlformats.org/officeDocument/2006/relationships/image" Target="media/image1.png"/><Relationship Id="rId24" Type="http://schemas.openxmlformats.org/officeDocument/2006/relationships/hyperlink" Target="https://eur-lex.europa.eu/eli/reg/2024/573/oj" TargetMode="External"/><Relationship Id="rId32" Type="http://schemas.openxmlformats.org/officeDocument/2006/relationships/hyperlink" Target="https://www.gov.uk/guidance/using-persistent-organic-pollutants-pops" TargetMode="External"/><Relationship Id="rId37" Type="http://schemas.openxmlformats.org/officeDocument/2006/relationships/hyperlink" Target="https://www.ecfr.gov/current/title-40/chapter-I" TargetMode="External"/><Relationship Id="rId40" Type="http://schemas.openxmlformats.org/officeDocument/2006/relationships/hyperlink" Target="https://www.ecfr.gov/current/title-40/chapter-I/subchapter-R/part-705" TargetMode="External"/><Relationship Id="rId45" Type="http://schemas.openxmlformats.org/officeDocument/2006/relationships/hyperlink" Target="https://echa.europa.eu/information-on-chemicals/ec-inventory" TargetMode="External"/><Relationship Id="rId5" Type="http://schemas.openxmlformats.org/officeDocument/2006/relationships/numbering" Target="numbering.xml"/><Relationship Id="rId15" Type="http://schemas.openxmlformats.org/officeDocument/2006/relationships/hyperlink" Target="https://eur-lex.europa.eu/legal-content/EN/TXT/?uri=celex%3A32006R1907" TargetMode="External"/><Relationship Id="rId23" Type="http://schemas.openxmlformats.org/officeDocument/2006/relationships/hyperlink" Target="https://eur-lex.europa.eu/eli/reg/2023/1542/oj" TargetMode="External"/><Relationship Id="rId28" Type="http://schemas.openxmlformats.org/officeDocument/2006/relationships/hyperlink" Target="https://www.canada.ca/en/environment-climate-change/services/management-toxic-substances/list-canadian-environmental-protection-act.html" TargetMode="External"/><Relationship Id="rId36" Type="http://schemas.openxmlformats.org/officeDocument/2006/relationships/hyperlink" Target="https://www.fedlex.admin.ch/eli/cc/2005/478/en"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lex.europa.eu/legal-content/EN/TXT/?uri=celex%3A32011L0065" TargetMode="External"/><Relationship Id="rId31" Type="http://schemas.openxmlformats.org/officeDocument/2006/relationships/hyperlink" Target="https://www.gov.uk/government/publications/fluorinated-greenhouse-gases-and-ozone-depleting-substances-charging-scheme" TargetMode="External"/><Relationship Id="rId44" Type="http://schemas.openxmlformats.org/officeDocument/2006/relationships/hyperlink" Target="https://www.cas.org/support/documentation/chemical-substances/faq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fe.org/activities/environment-and-sustainability/rail-industry-substance-list/" TargetMode="External"/><Relationship Id="rId22" Type="http://schemas.openxmlformats.org/officeDocument/2006/relationships/hyperlink" Target="https://eur-lex.europa.eu/legal-content/EN/TXT/?uri=celex%3A32000L0053" TargetMode="External"/><Relationship Id="rId27" Type="http://schemas.openxmlformats.org/officeDocument/2006/relationships/hyperlink" Target="https://www.legislation.gov.au/F2011L02664/latest/text" TargetMode="External"/><Relationship Id="rId30" Type="http://schemas.openxmlformats.org/officeDocument/2006/relationships/hyperlink" Target="https://www.canada.ca/en/environment-climate-change/services/management-toxic-substances/list-canadian-environmental-protection-act.html" TargetMode="External"/><Relationship Id="rId35" Type="http://schemas.openxmlformats.org/officeDocument/2006/relationships/hyperlink" Target="https://www.anmeldestelle.admin.ch/en/chemicals-ordinance-chemo" TargetMode="External"/><Relationship Id="rId43" Type="http://schemas.openxmlformats.org/officeDocument/2006/relationships/hyperlink" Target="https://www.unife.org/activities/environment-and-sustainability/rail-industry-substance-list/"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unife.org/" TargetMode="External"/><Relationship Id="rId17" Type="http://schemas.openxmlformats.org/officeDocument/2006/relationships/hyperlink" Target="https://eur-lex.europa.eu/eli/reg/2019/1021/oj" TargetMode="External"/><Relationship Id="rId25" Type="http://schemas.openxmlformats.org/officeDocument/2006/relationships/hyperlink" Target="https://eur-lex.europa.eu/eli/reg/2017/852/oj?locale=en" TargetMode="External"/><Relationship Id="rId33" Type="http://schemas.openxmlformats.org/officeDocument/2006/relationships/hyperlink" Target="https://www.hse.gov.uk/reach/" TargetMode="External"/><Relationship Id="rId38" Type="http://schemas.openxmlformats.org/officeDocument/2006/relationships/hyperlink" Target="https://www.ecfr.gov/current/title-40/chapter-I/subchapter-R/part-705" TargetMode="External"/><Relationship Id="rId46" Type="http://schemas.openxmlformats.org/officeDocument/2006/relationships/hyperlink" Target="http://eur-lex.europa.eu/" TargetMode="External"/><Relationship Id="rId20" Type="http://schemas.openxmlformats.org/officeDocument/2006/relationships/hyperlink" Target="https://eur-lex.europa.eu/legal-content/EN/TXT/?uri=celex%3A32011L0065" TargetMode="External"/><Relationship Id="rId41" Type="http://schemas.openxmlformats.org/officeDocument/2006/relationships/hyperlink" Target="https://www.ecfr.gov/current/title-40/chapter-I/subchapter-R/part-705"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08/1272/o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bf5a4e-af42-4308-99f9-67ed39494f68" xsi:nil="true"/>
    <lcf76f155ced4ddcb4097134ff3c332f xmlns="d8f5b1fe-2c05-4477-ab09-7dbf1b33e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C5FE6A151084792DFF03A6319774B" ma:contentTypeVersion="13" ma:contentTypeDescription="Create a new document." ma:contentTypeScope="" ma:versionID="afd2d98133908fcd9d28920d489d5427">
  <xsd:schema xmlns:xsd="http://www.w3.org/2001/XMLSchema" xmlns:xs="http://www.w3.org/2001/XMLSchema" xmlns:p="http://schemas.microsoft.com/office/2006/metadata/properties" xmlns:ns2="d8f5b1fe-2c05-4477-ab09-7dbf1b33e6be" xmlns:ns3="54bf5a4e-af42-4308-99f9-67ed39494f68" targetNamespace="http://schemas.microsoft.com/office/2006/metadata/properties" ma:root="true" ma:fieldsID="5be69cf897cd3a67b82aaaa78e589cbd" ns2:_="" ns3:_="">
    <xsd:import namespace="d8f5b1fe-2c05-4477-ab09-7dbf1b33e6be"/>
    <xsd:import namespace="54bf5a4e-af42-4308-99f9-67ed39494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5b1fe-2c05-4477-ab09-7dbf1b33e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8e92f4-59e0-4fd0-b74b-cbcbafa589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f5a4e-af42-4308-99f9-67ed39494f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896af1-21f8-4a9e-b5ed-6fe8c0f8d3fb}" ma:internalName="TaxCatchAll" ma:showField="CatchAllData" ma:web="54bf5a4e-af42-4308-99f9-67ed39494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284BD-4110-478B-BF51-EB22FB878365}">
  <ds:schemaRefs>
    <ds:schemaRef ds:uri="http://schemas.openxmlformats.org/officeDocument/2006/bibliography"/>
  </ds:schemaRefs>
</ds:datastoreItem>
</file>

<file path=customXml/itemProps2.xml><?xml version="1.0" encoding="utf-8"?>
<ds:datastoreItem xmlns:ds="http://schemas.openxmlformats.org/officeDocument/2006/customXml" ds:itemID="{0FA85BC8-666E-4DD9-A5D1-10DC91B7A6BE}">
  <ds:schemaRefs>
    <ds:schemaRef ds:uri="http://schemas.microsoft.com/office/2006/metadata/properties"/>
    <ds:schemaRef ds:uri="http://schemas.microsoft.com/office/infopath/2007/PartnerControls"/>
    <ds:schemaRef ds:uri="54bf5a4e-af42-4308-99f9-67ed39494f68"/>
    <ds:schemaRef ds:uri="d8f5b1fe-2c05-4477-ab09-7dbf1b33e6be"/>
  </ds:schemaRefs>
</ds:datastoreItem>
</file>

<file path=customXml/itemProps3.xml><?xml version="1.0" encoding="utf-8"?>
<ds:datastoreItem xmlns:ds="http://schemas.openxmlformats.org/officeDocument/2006/customXml" ds:itemID="{E55BE0DC-40FA-4697-A269-15A24D558A03}">
  <ds:schemaRefs>
    <ds:schemaRef ds:uri="http://schemas.microsoft.com/sharepoint/v3/contenttype/forms"/>
  </ds:schemaRefs>
</ds:datastoreItem>
</file>

<file path=customXml/itemProps4.xml><?xml version="1.0" encoding="utf-8"?>
<ds:datastoreItem xmlns:ds="http://schemas.openxmlformats.org/officeDocument/2006/customXml" ds:itemID="{9E1EFF3E-50B7-4554-81D4-214DEC63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5b1fe-2c05-4477-ab09-7dbf1b33e6be"/>
    <ds:schemaRef ds:uri="54bf5a4e-af42-4308-99f9-67ed39494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2412c0-1e7d-4ccc-99a7-7c8f0a21f86d}" enabled="1" method="Standard" siteId="{0d993ad3-fa73-421a-b129-1fe5590103f3}" removed="0"/>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7</Pages>
  <Words>2283</Words>
  <Characters>13017</Characters>
  <Application>Microsoft Office Word</Application>
  <DocSecurity>0</DocSecurity>
  <Lines>108</Lines>
  <Paragraphs>30</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BARISIONE</dc:creator>
  <cp:keywords/>
  <dc:description/>
  <cp:lastModifiedBy>Matteo BARISIONE</cp:lastModifiedBy>
  <cp:revision>54</cp:revision>
  <dcterms:created xsi:type="dcterms:W3CDTF">2026-05-29T16:20:00Z</dcterms:created>
  <dcterms:modified xsi:type="dcterms:W3CDTF">2026-06-12T15:15:00Z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15a92faa-f40a-43dd-8e61-daafbe45dbbc</vt:lpwstr>
  </property>
  <property fmtid="{D5CDD505-2E9C-101B-9397-08002B2CF9AE}" pid="3" name="ContentTypeId">
    <vt:lpwstr>0x0101004D9C5FE6A151084792DFF03A6319774B</vt:lpwstr>
  </property>
  <property fmtid="{D5CDD505-2E9C-101B-9397-08002B2CF9AE}" pid="4" name="ClassificationContentMarkingHeaderShapeIds">
    <vt:lpwstr>1727c27b,3059d3f4,61cee3c1</vt:lpwstr>
  </property>
  <property fmtid="{D5CDD505-2E9C-101B-9397-08002B2CF9AE}" pid="5" name="ClassificationContentMarkingHeaderFontProps">
    <vt:lpwstr>#71bf44,14,Calibri</vt:lpwstr>
  </property>
  <property fmtid="{D5CDD505-2E9C-101B-9397-08002B2CF9AE}" pid="6" name="ClassificationContentMarkingHeaderText">
    <vt:lpwstr>RESTRICTED</vt:lpwstr>
  </property>
  <property fmtid="{D5CDD505-2E9C-101B-9397-08002B2CF9AE}" pid="7" name="MediaServiceImageTags">
    <vt:lpwstr/>
  </property>
  <property fmtid="{D5CDD505-2E9C-101B-9397-08002B2CF9AE}" pid="8" name="Order">
    <vt:r8>1051400</vt:r8>
  </property>
</Properties>
</file>